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A6D" w:rsidRPr="000274C4" w:rsidRDefault="00230A6D" w:rsidP="00626361">
      <w:pPr>
        <w:spacing w:after="120" w:line="288" w:lineRule="auto"/>
        <w:jc w:val="both"/>
        <w:rPr>
          <w:rFonts w:ascii="Tahoma" w:hAnsi="Tahoma" w:cs="Tahoma"/>
          <w:b/>
          <w:bCs/>
          <w:color w:val="000000"/>
          <w:sz w:val="20"/>
          <w:szCs w:val="20"/>
        </w:rPr>
      </w:pPr>
    </w:p>
    <w:p w:rsidR="003D4CFB" w:rsidRDefault="003D4CFB" w:rsidP="003D4CFB">
      <w:pPr>
        <w:jc w:val="center"/>
        <w:rPr>
          <w:rFonts w:ascii="Tahoma" w:hAnsi="Tahoma" w:cs="Tahoma"/>
          <w:b/>
          <w:sz w:val="20"/>
          <w:szCs w:val="20"/>
        </w:rPr>
      </w:pPr>
      <w:r w:rsidRPr="000E2161">
        <w:rPr>
          <w:rFonts w:ascii="Tahoma" w:hAnsi="Tahoma" w:cs="Tahoma"/>
          <w:b/>
          <w:sz w:val="20"/>
          <w:szCs w:val="20"/>
        </w:rPr>
        <w:t>KONUTLARDA NET ALAN HESABINDA ARTIK, BALKON VE TERASLAR DİKKATE ALINMIYOR.</w:t>
      </w:r>
    </w:p>
    <w:p w:rsidR="008F2931" w:rsidRDefault="008F2931" w:rsidP="003D4CFB">
      <w:pPr>
        <w:jc w:val="both"/>
        <w:rPr>
          <w:rFonts w:ascii="Tahoma" w:hAnsi="Tahoma" w:cs="Tahoma"/>
          <w:sz w:val="20"/>
          <w:szCs w:val="20"/>
        </w:rPr>
      </w:pPr>
    </w:p>
    <w:p w:rsidR="003D4CFB" w:rsidRPr="000E2161" w:rsidRDefault="003D4CFB" w:rsidP="003D4CFB">
      <w:pPr>
        <w:jc w:val="both"/>
        <w:rPr>
          <w:rFonts w:ascii="Tahoma" w:hAnsi="Tahoma" w:cs="Tahoma"/>
          <w:sz w:val="20"/>
          <w:szCs w:val="20"/>
        </w:rPr>
      </w:pPr>
      <w:r w:rsidRPr="000E2161">
        <w:rPr>
          <w:rFonts w:ascii="Tahoma" w:hAnsi="Tahoma" w:cs="Tahoma"/>
          <w:sz w:val="20"/>
          <w:szCs w:val="20"/>
        </w:rPr>
        <w:t xml:space="preserve">Bilindiği üzere, net alanı 150 m2’nin altında olan konutların teslimlerinde Katma Değer Vergisi oranı %1 olarak uygulanmaktadır. Net alan hesabında ise, Maliye Bakanlığı’nın 1 Seri </w:t>
      </w:r>
      <w:proofErr w:type="spellStart"/>
      <w:r w:rsidRPr="000E2161">
        <w:rPr>
          <w:rFonts w:ascii="Tahoma" w:hAnsi="Tahoma" w:cs="Tahoma"/>
          <w:sz w:val="20"/>
          <w:szCs w:val="20"/>
        </w:rPr>
        <w:t>Nolu</w:t>
      </w:r>
      <w:proofErr w:type="spellEnd"/>
      <w:r w:rsidRPr="000E2161">
        <w:rPr>
          <w:rFonts w:ascii="Tahoma" w:hAnsi="Tahoma" w:cs="Tahoma"/>
          <w:sz w:val="20"/>
          <w:szCs w:val="20"/>
        </w:rPr>
        <w:t xml:space="preserve"> KDV Uygulama Tebliği’nin III-B/2.1.3. Net Alan hükmü uygulanmaktaydı. </w:t>
      </w:r>
    </w:p>
    <w:p w:rsidR="003D4CFB" w:rsidRPr="000E2161" w:rsidRDefault="003D4CFB" w:rsidP="003D4CFB">
      <w:pPr>
        <w:jc w:val="both"/>
        <w:rPr>
          <w:rFonts w:ascii="Tahoma" w:eastAsia="Times New Roman" w:hAnsi="Tahoma" w:cs="Tahoma"/>
          <w:bCs/>
          <w:color w:val="000000"/>
          <w:sz w:val="20"/>
          <w:szCs w:val="20"/>
          <w:lang w:eastAsia="tr-TR"/>
        </w:rPr>
      </w:pPr>
      <w:r w:rsidRPr="000E2161">
        <w:rPr>
          <w:rFonts w:ascii="Tahoma" w:hAnsi="Tahoma" w:cs="Tahoma"/>
          <w:sz w:val="20"/>
          <w:szCs w:val="20"/>
        </w:rPr>
        <w:t xml:space="preserve">1 Seri </w:t>
      </w:r>
      <w:proofErr w:type="spellStart"/>
      <w:r w:rsidRPr="000E2161">
        <w:rPr>
          <w:rFonts w:ascii="Tahoma" w:hAnsi="Tahoma" w:cs="Tahoma"/>
          <w:sz w:val="20"/>
          <w:szCs w:val="20"/>
        </w:rPr>
        <w:t>Nolu</w:t>
      </w:r>
      <w:proofErr w:type="spellEnd"/>
      <w:r w:rsidRPr="000E2161">
        <w:rPr>
          <w:rFonts w:ascii="Tahoma" w:hAnsi="Tahoma" w:cs="Tahoma"/>
          <w:sz w:val="20"/>
          <w:szCs w:val="20"/>
        </w:rPr>
        <w:t xml:space="preserve"> KDV Uygulama Tebliği’nin III-B/2.1.3. Net Alan hükmü, </w:t>
      </w:r>
      <w:r w:rsidRPr="00996B32">
        <w:rPr>
          <w:rFonts w:ascii="Tahoma" w:eastAsia="Times New Roman" w:hAnsi="Tahoma" w:cs="Tahoma"/>
          <w:bCs/>
          <w:color w:val="000000"/>
          <w:sz w:val="20"/>
          <w:szCs w:val="20"/>
          <w:lang w:eastAsia="tr-TR"/>
        </w:rPr>
        <w:t xml:space="preserve">Danıştay Dördüncü Dairesinin </w:t>
      </w:r>
      <w:proofErr w:type="gramStart"/>
      <w:r w:rsidRPr="00996B32">
        <w:rPr>
          <w:rFonts w:ascii="Tahoma" w:eastAsia="Times New Roman" w:hAnsi="Tahoma" w:cs="Tahoma"/>
          <w:bCs/>
          <w:color w:val="000000"/>
          <w:sz w:val="20"/>
          <w:szCs w:val="20"/>
          <w:lang w:eastAsia="tr-TR"/>
        </w:rPr>
        <w:t>10/12/2014</w:t>
      </w:r>
      <w:proofErr w:type="gramEnd"/>
      <w:r w:rsidRPr="00996B32">
        <w:rPr>
          <w:rFonts w:ascii="Tahoma" w:eastAsia="Times New Roman" w:hAnsi="Tahoma" w:cs="Tahoma"/>
          <w:bCs/>
          <w:color w:val="000000"/>
          <w:sz w:val="20"/>
          <w:szCs w:val="20"/>
          <w:lang w:eastAsia="tr-TR"/>
        </w:rPr>
        <w:t xml:space="preserve"> tarih ve Esas No:2014/4835 sayılı kararı ile bu kısmın yürütmesi</w:t>
      </w:r>
      <w:r w:rsidRPr="000E2161">
        <w:rPr>
          <w:rFonts w:ascii="Tahoma" w:eastAsia="Times New Roman" w:hAnsi="Tahoma" w:cs="Tahoma"/>
          <w:bCs/>
          <w:color w:val="000000"/>
          <w:sz w:val="20"/>
          <w:szCs w:val="20"/>
          <w:lang w:eastAsia="tr-TR"/>
        </w:rPr>
        <w:t>ni</w:t>
      </w:r>
      <w:r w:rsidRPr="00996B32">
        <w:rPr>
          <w:rFonts w:ascii="Tahoma" w:eastAsia="Times New Roman" w:hAnsi="Tahoma" w:cs="Tahoma"/>
          <w:bCs/>
          <w:color w:val="000000"/>
          <w:sz w:val="20"/>
          <w:szCs w:val="20"/>
          <w:lang w:eastAsia="tr-TR"/>
        </w:rPr>
        <w:t xml:space="preserve"> durdurulmuştur.</w:t>
      </w:r>
      <w:r w:rsidRPr="000E2161">
        <w:rPr>
          <w:rFonts w:ascii="Tahoma" w:eastAsia="Times New Roman" w:hAnsi="Tahoma" w:cs="Tahoma"/>
          <w:bCs/>
          <w:color w:val="000000"/>
          <w:sz w:val="20"/>
          <w:szCs w:val="20"/>
          <w:lang w:eastAsia="tr-TR"/>
        </w:rPr>
        <w:t xml:space="preserve"> </w:t>
      </w:r>
    </w:p>
    <w:p w:rsidR="003D4CFB" w:rsidRPr="000E2161" w:rsidRDefault="003D4CFB" w:rsidP="003D4CFB">
      <w:pPr>
        <w:jc w:val="both"/>
        <w:rPr>
          <w:rFonts w:ascii="Tahoma" w:hAnsi="Tahoma" w:cs="Tahoma"/>
          <w:sz w:val="20"/>
          <w:szCs w:val="20"/>
        </w:rPr>
      </w:pPr>
      <w:r w:rsidRPr="000E2161">
        <w:rPr>
          <w:rFonts w:ascii="Tahoma" w:eastAsia="Times New Roman" w:hAnsi="Tahoma" w:cs="Tahoma"/>
          <w:bCs/>
          <w:color w:val="000000"/>
          <w:sz w:val="20"/>
          <w:szCs w:val="20"/>
          <w:lang w:eastAsia="tr-TR"/>
        </w:rPr>
        <w:t>Tebliğde yer alan ilgili iptale ilişkin hüküm aşağıda yer almaktadır.</w:t>
      </w:r>
    </w:p>
    <w:p w:rsidR="003D4CFB" w:rsidRPr="00996B32" w:rsidRDefault="002E4D04" w:rsidP="003D4CFB">
      <w:pPr>
        <w:spacing w:after="120" w:line="240" w:lineRule="auto"/>
        <w:ind w:left="425"/>
        <w:jc w:val="both"/>
        <w:outlineLvl w:val="4"/>
        <w:rPr>
          <w:rFonts w:ascii="Tahoma" w:eastAsia="Times New Roman" w:hAnsi="Tahoma" w:cs="Tahoma"/>
          <w:b/>
          <w:bCs/>
          <w:color w:val="000000"/>
          <w:sz w:val="20"/>
          <w:szCs w:val="20"/>
          <w:lang w:eastAsia="tr-TR"/>
        </w:rPr>
      </w:pPr>
      <w:r>
        <w:rPr>
          <w:rFonts w:ascii="Tahoma" w:eastAsia="Times New Roman" w:hAnsi="Tahoma" w:cs="Tahoma"/>
          <w:b/>
          <w:bCs/>
          <w:color w:val="000000"/>
          <w:sz w:val="20"/>
          <w:szCs w:val="20"/>
          <w:lang w:eastAsia="tr-TR"/>
        </w:rPr>
        <w:t>“</w:t>
      </w:r>
      <w:r w:rsidR="003D4CFB" w:rsidRPr="00996B32">
        <w:rPr>
          <w:rFonts w:ascii="Tahoma" w:eastAsia="Times New Roman" w:hAnsi="Tahoma" w:cs="Tahoma"/>
          <w:b/>
          <w:bCs/>
          <w:color w:val="000000"/>
          <w:sz w:val="20"/>
          <w:szCs w:val="20"/>
          <w:lang w:eastAsia="tr-TR"/>
        </w:rPr>
        <w:t xml:space="preserve">2.1.3. Net Alan (Danıştay Dördüncü Dairesinin </w:t>
      </w:r>
      <w:proofErr w:type="gramStart"/>
      <w:r w:rsidR="003D4CFB" w:rsidRPr="00996B32">
        <w:rPr>
          <w:rFonts w:ascii="Tahoma" w:eastAsia="Times New Roman" w:hAnsi="Tahoma" w:cs="Tahoma"/>
          <w:b/>
          <w:bCs/>
          <w:color w:val="000000"/>
          <w:sz w:val="20"/>
          <w:szCs w:val="20"/>
          <w:lang w:eastAsia="tr-TR"/>
        </w:rPr>
        <w:t>10/12/2014</w:t>
      </w:r>
      <w:proofErr w:type="gramEnd"/>
      <w:r w:rsidR="003D4CFB" w:rsidRPr="00996B32">
        <w:rPr>
          <w:rFonts w:ascii="Tahoma" w:eastAsia="Times New Roman" w:hAnsi="Tahoma" w:cs="Tahoma"/>
          <w:b/>
          <w:bCs/>
          <w:color w:val="000000"/>
          <w:sz w:val="20"/>
          <w:szCs w:val="20"/>
          <w:lang w:eastAsia="tr-TR"/>
        </w:rPr>
        <w:t xml:space="preserve"> tarih ve Esas No:2014/4835 sayılı kararı ile bu kısmın yürütmesi durdurulmuştur.)</w:t>
      </w:r>
    </w:p>
    <w:p w:rsidR="003D4CFB" w:rsidRPr="00996B32" w:rsidRDefault="003D4CFB" w:rsidP="003D4CFB">
      <w:pPr>
        <w:spacing w:after="120" w:line="240" w:lineRule="auto"/>
        <w:ind w:left="425"/>
        <w:jc w:val="both"/>
        <w:rPr>
          <w:rFonts w:ascii="Tahoma" w:eastAsia="Times New Roman" w:hAnsi="Tahoma" w:cs="Tahoma"/>
          <w:color w:val="000000"/>
          <w:sz w:val="20"/>
          <w:szCs w:val="20"/>
          <w:lang w:eastAsia="tr-TR"/>
        </w:rPr>
      </w:pPr>
      <w:r w:rsidRPr="00996B32">
        <w:rPr>
          <w:rFonts w:ascii="Tahoma" w:eastAsia="Times New Roman" w:hAnsi="Tahoma" w:cs="Tahoma"/>
          <w:color w:val="000000"/>
          <w:sz w:val="20"/>
          <w:szCs w:val="20"/>
          <w:lang w:eastAsia="tr-TR"/>
        </w:rPr>
        <w:t>Net alan deyimi "konut içerisinde duvarlar arasında kalan temiz alan" olarak tanımlanan faydalı alanı ifade etmekte olup, plan ve proje gereği konut dışında bir amaçla kullanılacak bölümleri de ihtiva eden inşaatlarda indirimli oran sadece konut olarak kullanılacak bölümlere uygulanır.</w:t>
      </w:r>
    </w:p>
    <w:p w:rsidR="003D4CFB" w:rsidRPr="00996B32" w:rsidRDefault="003D4CFB" w:rsidP="003D4CFB">
      <w:pPr>
        <w:spacing w:after="120" w:line="240" w:lineRule="auto"/>
        <w:ind w:left="425"/>
        <w:jc w:val="both"/>
        <w:rPr>
          <w:rFonts w:ascii="Tahoma" w:eastAsia="Times New Roman" w:hAnsi="Tahoma" w:cs="Tahoma"/>
          <w:color w:val="000000"/>
          <w:sz w:val="20"/>
          <w:szCs w:val="20"/>
          <w:lang w:eastAsia="tr-TR"/>
        </w:rPr>
      </w:pPr>
      <w:r w:rsidRPr="00996B32">
        <w:rPr>
          <w:rFonts w:ascii="Tahoma" w:eastAsia="Times New Roman" w:hAnsi="Tahoma" w:cs="Tahoma"/>
          <w:color w:val="000000"/>
          <w:sz w:val="20"/>
          <w:szCs w:val="20"/>
          <w:lang w:eastAsia="tr-TR"/>
        </w:rPr>
        <w:t>Net alanın hesaplanması konusunda aşağıdaki şekilde hareket edilir:</w:t>
      </w:r>
    </w:p>
    <w:p w:rsidR="003D4CFB" w:rsidRPr="00996B32" w:rsidRDefault="003D4CFB" w:rsidP="003D4CFB">
      <w:pPr>
        <w:spacing w:after="120" w:line="240" w:lineRule="auto"/>
        <w:ind w:left="425"/>
        <w:jc w:val="both"/>
        <w:rPr>
          <w:rFonts w:ascii="Tahoma" w:eastAsia="Times New Roman" w:hAnsi="Tahoma" w:cs="Tahoma"/>
          <w:color w:val="000000"/>
          <w:sz w:val="20"/>
          <w:szCs w:val="20"/>
          <w:lang w:eastAsia="tr-TR"/>
        </w:rPr>
      </w:pPr>
      <w:r w:rsidRPr="00996B32">
        <w:rPr>
          <w:rFonts w:ascii="Tahoma" w:eastAsia="Times New Roman" w:hAnsi="Tahoma" w:cs="Tahoma"/>
          <w:color w:val="000000"/>
          <w:sz w:val="20"/>
          <w:szCs w:val="20"/>
          <w:lang w:eastAsia="tr-TR"/>
        </w:rPr>
        <w:t xml:space="preserve">a) Balkon, kömürlük, garaj, asansör boşluğu ve benzeri yerler, konutlardan ayrı olarak kullanılmaları mümkün olmadığından prensip olarak net alan hesabına </w:t>
      </w:r>
      <w:proofErr w:type="gramStart"/>
      <w:r w:rsidRPr="00996B32">
        <w:rPr>
          <w:rFonts w:ascii="Tahoma" w:eastAsia="Times New Roman" w:hAnsi="Tahoma" w:cs="Tahoma"/>
          <w:color w:val="000000"/>
          <w:sz w:val="20"/>
          <w:szCs w:val="20"/>
          <w:lang w:eastAsia="tr-TR"/>
        </w:rPr>
        <w:t>dahildir</w:t>
      </w:r>
      <w:proofErr w:type="gramEnd"/>
      <w:r w:rsidRPr="00996B32">
        <w:rPr>
          <w:rFonts w:ascii="Tahoma" w:eastAsia="Times New Roman" w:hAnsi="Tahoma" w:cs="Tahoma"/>
          <w:color w:val="000000"/>
          <w:sz w:val="20"/>
          <w:szCs w:val="20"/>
          <w:lang w:eastAsia="tr-TR"/>
        </w:rPr>
        <w:t>.</w:t>
      </w:r>
    </w:p>
    <w:p w:rsidR="003D4CFB" w:rsidRPr="00996B32" w:rsidRDefault="003D4CFB" w:rsidP="003D4CFB">
      <w:pPr>
        <w:spacing w:after="120" w:line="240" w:lineRule="auto"/>
        <w:ind w:left="425"/>
        <w:jc w:val="both"/>
        <w:rPr>
          <w:rFonts w:ascii="Tahoma" w:eastAsia="Times New Roman" w:hAnsi="Tahoma" w:cs="Tahoma"/>
          <w:color w:val="000000"/>
          <w:sz w:val="20"/>
          <w:szCs w:val="20"/>
          <w:lang w:eastAsia="tr-TR"/>
        </w:rPr>
      </w:pPr>
      <w:r w:rsidRPr="00996B32">
        <w:rPr>
          <w:rFonts w:ascii="Tahoma" w:eastAsia="Times New Roman" w:hAnsi="Tahoma" w:cs="Tahoma"/>
          <w:color w:val="000000"/>
          <w:sz w:val="20"/>
          <w:szCs w:val="20"/>
          <w:lang w:eastAsia="tr-TR"/>
        </w:rPr>
        <w:t>b) Faydalı alan genel olarak duvar yüzlerinde 2,5 cm sıva bulunduğu kabul edilerek, proje üzerinde gösterilmiş bulunan kaba yapı boyutlarının her birinden 5'er cm. düşülmek suretiyle hesaplanır.</w:t>
      </w:r>
    </w:p>
    <w:p w:rsidR="003D4CFB" w:rsidRPr="00996B32" w:rsidRDefault="003D4CFB" w:rsidP="003D4CFB">
      <w:pPr>
        <w:spacing w:after="120" w:line="240" w:lineRule="auto"/>
        <w:ind w:left="425"/>
        <w:jc w:val="both"/>
        <w:rPr>
          <w:rFonts w:ascii="Tahoma" w:eastAsia="Times New Roman" w:hAnsi="Tahoma" w:cs="Tahoma"/>
          <w:color w:val="000000"/>
          <w:sz w:val="20"/>
          <w:szCs w:val="20"/>
          <w:lang w:eastAsia="tr-TR"/>
        </w:rPr>
      </w:pPr>
      <w:r w:rsidRPr="00996B32">
        <w:rPr>
          <w:rFonts w:ascii="Tahoma" w:eastAsia="Times New Roman" w:hAnsi="Tahoma" w:cs="Tahoma"/>
          <w:color w:val="000000"/>
          <w:sz w:val="20"/>
          <w:szCs w:val="20"/>
          <w:lang w:eastAsia="tr-TR"/>
        </w:rPr>
        <w:t>Ancak;</w:t>
      </w:r>
    </w:p>
    <w:p w:rsidR="003D4CFB" w:rsidRPr="00996B32" w:rsidRDefault="003D4CFB" w:rsidP="003D4CFB">
      <w:pPr>
        <w:spacing w:after="120" w:line="240" w:lineRule="auto"/>
        <w:ind w:left="425"/>
        <w:jc w:val="both"/>
        <w:rPr>
          <w:rFonts w:ascii="Tahoma" w:eastAsia="Times New Roman" w:hAnsi="Tahoma" w:cs="Tahoma"/>
          <w:color w:val="000000"/>
          <w:sz w:val="20"/>
          <w:szCs w:val="20"/>
          <w:lang w:eastAsia="tr-TR"/>
        </w:rPr>
      </w:pPr>
      <w:r w:rsidRPr="00996B32">
        <w:rPr>
          <w:rFonts w:ascii="Tahoma" w:eastAsia="Times New Roman" w:hAnsi="Tahoma" w:cs="Tahoma"/>
          <w:color w:val="000000"/>
          <w:sz w:val="20"/>
          <w:szCs w:val="20"/>
          <w:lang w:eastAsia="tr-TR"/>
        </w:rPr>
        <w:t>-Konutlarda kapı ve pencere şeritleri, duman ve çöp bacası çıkıntıları, ışıklıklar ve hava bacaları,</w:t>
      </w:r>
    </w:p>
    <w:p w:rsidR="003D4CFB" w:rsidRPr="00996B32" w:rsidRDefault="003D4CFB" w:rsidP="003D4CFB">
      <w:pPr>
        <w:spacing w:after="120" w:line="240" w:lineRule="auto"/>
        <w:ind w:left="425"/>
        <w:jc w:val="both"/>
        <w:rPr>
          <w:rFonts w:ascii="Tahoma" w:eastAsia="Times New Roman" w:hAnsi="Tahoma" w:cs="Tahoma"/>
          <w:color w:val="000000"/>
          <w:sz w:val="20"/>
          <w:szCs w:val="20"/>
          <w:lang w:eastAsia="tr-TR"/>
        </w:rPr>
      </w:pPr>
      <w:r w:rsidRPr="00996B32">
        <w:rPr>
          <w:rFonts w:ascii="Tahoma" w:eastAsia="Times New Roman" w:hAnsi="Tahoma" w:cs="Tahoma"/>
          <w:color w:val="000000"/>
          <w:sz w:val="20"/>
          <w:szCs w:val="20"/>
          <w:lang w:eastAsia="tr-TR"/>
        </w:rPr>
        <w:t>-Karkas binalardaki kolonların duvarlardan taşan dişleri,</w:t>
      </w:r>
    </w:p>
    <w:p w:rsidR="003D4CFB" w:rsidRPr="00996B32" w:rsidRDefault="003D4CFB" w:rsidP="003D4CFB">
      <w:pPr>
        <w:spacing w:after="120" w:line="240" w:lineRule="auto"/>
        <w:ind w:left="425"/>
        <w:jc w:val="both"/>
        <w:rPr>
          <w:rFonts w:ascii="Tahoma" w:eastAsia="Times New Roman" w:hAnsi="Tahoma" w:cs="Tahoma"/>
          <w:color w:val="000000"/>
          <w:sz w:val="20"/>
          <w:szCs w:val="20"/>
          <w:lang w:eastAsia="tr-TR"/>
        </w:rPr>
      </w:pPr>
      <w:r w:rsidRPr="00996B32">
        <w:rPr>
          <w:rFonts w:ascii="Tahoma" w:eastAsia="Times New Roman" w:hAnsi="Tahoma" w:cs="Tahoma"/>
          <w:color w:val="000000"/>
          <w:sz w:val="20"/>
          <w:szCs w:val="20"/>
          <w:lang w:eastAsia="tr-TR"/>
        </w:rPr>
        <w:t>-Bir konuttaki balkonların veya arsa zemininden 0,75 m.den yüksek terasların toplamının 2 m</w:t>
      </w:r>
      <w:r w:rsidRPr="00996B32">
        <w:rPr>
          <w:rFonts w:ascii="Tahoma" w:eastAsia="Times New Roman" w:hAnsi="Tahoma" w:cs="Tahoma"/>
          <w:color w:val="000000"/>
          <w:sz w:val="20"/>
          <w:szCs w:val="20"/>
          <w:vertAlign w:val="superscript"/>
          <w:lang w:eastAsia="tr-TR"/>
        </w:rPr>
        <w:t>2</w:t>
      </w:r>
      <w:r w:rsidRPr="00996B32">
        <w:rPr>
          <w:rFonts w:ascii="Tahoma" w:eastAsia="Times New Roman" w:hAnsi="Tahoma" w:cs="Tahoma"/>
          <w:color w:val="000000"/>
          <w:sz w:val="20"/>
          <w:szCs w:val="20"/>
          <w:lang w:eastAsia="tr-TR"/>
        </w:rPr>
        <w:t>'si çok katlı binalarda yapılan çekme katların etrafında kalan ve ticaret bölgelerinde zemin katların komşu hududuna kadar uzaması ile meydana gelen teraslar,</w:t>
      </w:r>
    </w:p>
    <w:p w:rsidR="003D4CFB" w:rsidRPr="00996B32" w:rsidRDefault="003D4CFB" w:rsidP="003D4CFB">
      <w:pPr>
        <w:spacing w:after="120" w:line="240" w:lineRule="auto"/>
        <w:ind w:left="425"/>
        <w:jc w:val="both"/>
        <w:rPr>
          <w:rFonts w:ascii="Tahoma" w:eastAsia="Times New Roman" w:hAnsi="Tahoma" w:cs="Tahoma"/>
          <w:color w:val="000000"/>
          <w:sz w:val="20"/>
          <w:szCs w:val="20"/>
          <w:lang w:eastAsia="tr-TR"/>
        </w:rPr>
      </w:pPr>
      <w:r w:rsidRPr="00996B32">
        <w:rPr>
          <w:rFonts w:ascii="Tahoma" w:eastAsia="Times New Roman" w:hAnsi="Tahoma" w:cs="Tahoma"/>
          <w:color w:val="000000"/>
          <w:sz w:val="20"/>
          <w:szCs w:val="20"/>
          <w:lang w:eastAsia="tr-TR"/>
        </w:rPr>
        <w:t>-Çok katlı binalarda genel giriş, merdiven, sahanlıklar ve asansörler,</w:t>
      </w:r>
    </w:p>
    <w:p w:rsidR="003D4CFB" w:rsidRPr="00996B32" w:rsidRDefault="003D4CFB" w:rsidP="003D4CFB">
      <w:pPr>
        <w:spacing w:after="120" w:line="240" w:lineRule="auto"/>
        <w:ind w:left="425"/>
        <w:jc w:val="both"/>
        <w:rPr>
          <w:rFonts w:ascii="Tahoma" w:eastAsia="Times New Roman" w:hAnsi="Tahoma" w:cs="Tahoma"/>
          <w:color w:val="000000"/>
          <w:sz w:val="20"/>
          <w:szCs w:val="20"/>
          <w:lang w:eastAsia="tr-TR"/>
        </w:rPr>
      </w:pPr>
      <w:r w:rsidRPr="00996B32">
        <w:rPr>
          <w:rFonts w:ascii="Tahoma" w:eastAsia="Times New Roman" w:hAnsi="Tahoma" w:cs="Tahoma"/>
          <w:color w:val="000000"/>
          <w:sz w:val="20"/>
          <w:szCs w:val="20"/>
          <w:lang w:eastAsia="tr-TR"/>
        </w:rPr>
        <w:t>-İki katlı tek ev olarak yapılan konutlarda iç merdivenlerin altında 1,75 m. yüksekliğinden az olan yerler,</w:t>
      </w:r>
    </w:p>
    <w:p w:rsidR="003D4CFB" w:rsidRPr="00996B32" w:rsidRDefault="003D4CFB" w:rsidP="003D4CFB">
      <w:pPr>
        <w:spacing w:after="120" w:line="240" w:lineRule="auto"/>
        <w:ind w:left="425"/>
        <w:jc w:val="both"/>
        <w:rPr>
          <w:rFonts w:ascii="Tahoma" w:eastAsia="Times New Roman" w:hAnsi="Tahoma" w:cs="Tahoma"/>
          <w:color w:val="000000"/>
          <w:sz w:val="20"/>
          <w:szCs w:val="20"/>
          <w:lang w:eastAsia="tr-TR"/>
        </w:rPr>
      </w:pPr>
      <w:r w:rsidRPr="00996B32">
        <w:rPr>
          <w:rFonts w:ascii="Tahoma" w:eastAsia="Times New Roman" w:hAnsi="Tahoma" w:cs="Tahoma"/>
          <w:color w:val="000000"/>
          <w:sz w:val="20"/>
          <w:szCs w:val="20"/>
          <w:lang w:eastAsia="tr-TR"/>
        </w:rPr>
        <w:t>-Bodrumlarda konut başına bir adet, konutun bulunduğu bina dışında konut başına 4 m</w:t>
      </w:r>
      <w:r w:rsidRPr="00996B32">
        <w:rPr>
          <w:rFonts w:ascii="Tahoma" w:eastAsia="Times New Roman" w:hAnsi="Tahoma" w:cs="Tahoma"/>
          <w:color w:val="000000"/>
          <w:sz w:val="20"/>
          <w:szCs w:val="20"/>
          <w:vertAlign w:val="superscript"/>
          <w:lang w:eastAsia="tr-TR"/>
        </w:rPr>
        <w:t>2</w:t>
      </w:r>
      <w:r w:rsidRPr="00996B32">
        <w:rPr>
          <w:rFonts w:ascii="Tahoma" w:eastAsia="Times New Roman" w:hAnsi="Tahoma" w:cs="Tahoma"/>
          <w:color w:val="000000"/>
          <w:sz w:val="20"/>
          <w:szCs w:val="20"/>
          <w:lang w:eastAsia="tr-TR"/>
        </w:rPr>
        <w:t>'den büyük olmamak üzere yapılan kömürlük veya depo,</w:t>
      </w:r>
    </w:p>
    <w:p w:rsidR="003D4CFB" w:rsidRPr="00996B32" w:rsidRDefault="003D4CFB" w:rsidP="003D4CFB">
      <w:pPr>
        <w:spacing w:after="120" w:line="240" w:lineRule="auto"/>
        <w:ind w:left="425"/>
        <w:jc w:val="both"/>
        <w:rPr>
          <w:rFonts w:ascii="Tahoma" w:eastAsia="Times New Roman" w:hAnsi="Tahoma" w:cs="Tahoma"/>
          <w:color w:val="000000"/>
          <w:sz w:val="20"/>
          <w:szCs w:val="20"/>
          <w:lang w:eastAsia="tr-TR"/>
        </w:rPr>
      </w:pPr>
      <w:r w:rsidRPr="00996B32">
        <w:rPr>
          <w:rFonts w:ascii="Tahoma" w:eastAsia="Times New Roman" w:hAnsi="Tahoma" w:cs="Tahoma"/>
          <w:color w:val="000000"/>
          <w:sz w:val="20"/>
          <w:szCs w:val="20"/>
          <w:lang w:eastAsia="tr-TR"/>
        </w:rPr>
        <w:t>-Kalorifer dairesi, yakıt deposu, sığınak, kapıcı dairesi, müşterek hizmete ayrılan depo, çamaşırlık,</w:t>
      </w:r>
    </w:p>
    <w:p w:rsidR="003D4CFB" w:rsidRPr="00996B32" w:rsidRDefault="003D4CFB" w:rsidP="003D4CFB">
      <w:pPr>
        <w:spacing w:after="120" w:line="240" w:lineRule="auto"/>
        <w:ind w:left="425"/>
        <w:jc w:val="both"/>
        <w:rPr>
          <w:rFonts w:ascii="Tahoma" w:eastAsia="Times New Roman" w:hAnsi="Tahoma" w:cs="Tahoma"/>
          <w:color w:val="000000"/>
          <w:sz w:val="20"/>
          <w:szCs w:val="20"/>
          <w:lang w:eastAsia="tr-TR"/>
        </w:rPr>
      </w:pPr>
      <w:r w:rsidRPr="00996B32">
        <w:rPr>
          <w:rFonts w:ascii="Tahoma" w:eastAsia="Times New Roman" w:hAnsi="Tahoma" w:cs="Tahoma"/>
          <w:color w:val="000000"/>
          <w:sz w:val="20"/>
          <w:szCs w:val="20"/>
          <w:lang w:eastAsia="tr-TR"/>
        </w:rPr>
        <w:t>-Bina içindeki garajlar ile bina dışında konut başına 18 m</w:t>
      </w:r>
      <w:r w:rsidRPr="00996B32">
        <w:rPr>
          <w:rFonts w:ascii="Tahoma" w:eastAsia="Times New Roman" w:hAnsi="Tahoma" w:cs="Tahoma"/>
          <w:color w:val="000000"/>
          <w:sz w:val="20"/>
          <w:szCs w:val="20"/>
          <w:vertAlign w:val="superscript"/>
          <w:lang w:eastAsia="tr-TR"/>
        </w:rPr>
        <w:t>2</w:t>
      </w:r>
      <w:r w:rsidRPr="00996B32">
        <w:rPr>
          <w:rFonts w:ascii="Tahoma" w:eastAsia="Times New Roman" w:hAnsi="Tahoma" w:cs="Tahoma"/>
          <w:color w:val="000000"/>
          <w:sz w:val="20"/>
          <w:szCs w:val="20"/>
          <w:lang w:eastAsia="tr-TR"/>
        </w:rPr>
        <w:t>'den büyük olmamak üzere yapılan garajlar,</w:t>
      </w:r>
    </w:p>
    <w:p w:rsidR="003D4CFB" w:rsidRPr="00996B32" w:rsidRDefault="003D4CFB" w:rsidP="003D4CFB">
      <w:pPr>
        <w:spacing w:after="120" w:line="240" w:lineRule="auto"/>
        <w:ind w:left="425"/>
        <w:jc w:val="both"/>
        <w:rPr>
          <w:rFonts w:ascii="Tahoma" w:eastAsia="Times New Roman" w:hAnsi="Tahoma" w:cs="Tahoma"/>
          <w:color w:val="000000"/>
          <w:sz w:val="20"/>
          <w:szCs w:val="20"/>
          <w:lang w:eastAsia="tr-TR"/>
        </w:rPr>
      </w:pPr>
      <w:proofErr w:type="gramStart"/>
      <w:r w:rsidRPr="00996B32">
        <w:rPr>
          <w:rFonts w:ascii="Tahoma" w:eastAsia="Times New Roman" w:hAnsi="Tahoma" w:cs="Tahoma"/>
          <w:color w:val="000000"/>
          <w:sz w:val="20"/>
          <w:szCs w:val="20"/>
          <w:lang w:eastAsia="tr-TR"/>
        </w:rPr>
        <w:t>faydalı</w:t>
      </w:r>
      <w:proofErr w:type="gramEnd"/>
      <w:r w:rsidRPr="00996B32">
        <w:rPr>
          <w:rFonts w:ascii="Tahoma" w:eastAsia="Times New Roman" w:hAnsi="Tahoma" w:cs="Tahoma"/>
          <w:color w:val="000000"/>
          <w:sz w:val="20"/>
          <w:szCs w:val="20"/>
          <w:lang w:eastAsia="tr-TR"/>
        </w:rPr>
        <w:t xml:space="preserve"> alan dışındadır.</w:t>
      </w:r>
    </w:p>
    <w:p w:rsidR="003D4CFB" w:rsidRPr="00996B32" w:rsidRDefault="003D4CFB" w:rsidP="003D4CFB">
      <w:pPr>
        <w:spacing w:after="120" w:line="240" w:lineRule="auto"/>
        <w:ind w:left="425"/>
        <w:jc w:val="both"/>
        <w:rPr>
          <w:rFonts w:ascii="Tahoma" w:eastAsia="Times New Roman" w:hAnsi="Tahoma" w:cs="Tahoma"/>
          <w:color w:val="000000"/>
          <w:sz w:val="20"/>
          <w:szCs w:val="20"/>
          <w:lang w:eastAsia="tr-TR"/>
        </w:rPr>
      </w:pPr>
      <w:r w:rsidRPr="00996B32">
        <w:rPr>
          <w:rFonts w:ascii="Tahoma" w:eastAsia="Times New Roman" w:hAnsi="Tahoma" w:cs="Tahoma"/>
          <w:color w:val="000000"/>
          <w:sz w:val="20"/>
          <w:szCs w:val="20"/>
          <w:lang w:eastAsia="tr-TR"/>
        </w:rPr>
        <w:t>Bina dışındaki kömürlük ve depoların 4 m</w:t>
      </w:r>
      <w:r w:rsidRPr="00996B32">
        <w:rPr>
          <w:rFonts w:ascii="Tahoma" w:eastAsia="Times New Roman" w:hAnsi="Tahoma" w:cs="Tahoma"/>
          <w:color w:val="000000"/>
          <w:sz w:val="20"/>
          <w:szCs w:val="20"/>
          <w:vertAlign w:val="superscript"/>
          <w:lang w:eastAsia="tr-TR"/>
        </w:rPr>
        <w:t>2</w:t>
      </w:r>
      <w:r w:rsidRPr="00996B32">
        <w:rPr>
          <w:rFonts w:ascii="Tahoma" w:eastAsia="Times New Roman" w:hAnsi="Tahoma" w:cs="Tahoma"/>
          <w:color w:val="000000"/>
          <w:sz w:val="20"/>
          <w:szCs w:val="20"/>
          <w:lang w:eastAsia="tr-TR"/>
        </w:rPr>
        <w:t>'yi, garajların 18 m</w:t>
      </w:r>
      <w:r w:rsidRPr="00996B32">
        <w:rPr>
          <w:rFonts w:ascii="Tahoma" w:eastAsia="Times New Roman" w:hAnsi="Tahoma" w:cs="Tahoma"/>
          <w:color w:val="000000"/>
          <w:sz w:val="20"/>
          <w:szCs w:val="20"/>
          <w:vertAlign w:val="superscript"/>
          <w:lang w:eastAsia="tr-TR"/>
        </w:rPr>
        <w:t>2</w:t>
      </w:r>
      <w:r w:rsidRPr="00996B32">
        <w:rPr>
          <w:rFonts w:ascii="Tahoma" w:eastAsia="Times New Roman" w:hAnsi="Tahoma" w:cs="Tahoma"/>
          <w:color w:val="000000"/>
          <w:sz w:val="20"/>
          <w:szCs w:val="20"/>
          <w:lang w:eastAsia="tr-TR"/>
        </w:rPr>
        <w:t xml:space="preserve">'yi aşan kısmı, ait oldukları konutun faydalı alanına </w:t>
      </w:r>
      <w:proofErr w:type="gramStart"/>
      <w:r w:rsidRPr="00996B32">
        <w:rPr>
          <w:rFonts w:ascii="Tahoma" w:eastAsia="Times New Roman" w:hAnsi="Tahoma" w:cs="Tahoma"/>
          <w:color w:val="000000"/>
          <w:sz w:val="20"/>
          <w:szCs w:val="20"/>
          <w:lang w:eastAsia="tr-TR"/>
        </w:rPr>
        <w:t>dahil</w:t>
      </w:r>
      <w:proofErr w:type="gramEnd"/>
      <w:r w:rsidRPr="00996B32">
        <w:rPr>
          <w:rFonts w:ascii="Tahoma" w:eastAsia="Times New Roman" w:hAnsi="Tahoma" w:cs="Tahoma"/>
          <w:color w:val="000000"/>
          <w:sz w:val="20"/>
          <w:szCs w:val="20"/>
          <w:lang w:eastAsia="tr-TR"/>
        </w:rPr>
        <w:t xml:space="preserve"> edilirler.</w:t>
      </w:r>
      <w:r>
        <w:rPr>
          <w:rFonts w:ascii="Tahoma" w:eastAsia="Times New Roman" w:hAnsi="Tahoma" w:cs="Tahoma"/>
          <w:color w:val="000000"/>
          <w:sz w:val="20"/>
          <w:szCs w:val="20"/>
          <w:lang w:eastAsia="tr-TR"/>
        </w:rPr>
        <w:t>”</w:t>
      </w:r>
    </w:p>
    <w:p w:rsidR="003D4CFB" w:rsidRDefault="003D4CFB" w:rsidP="003D4CFB">
      <w:pPr>
        <w:shd w:val="clear" w:color="auto" w:fill="FFFFFF"/>
        <w:spacing w:before="120"/>
        <w:jc w:val="both"/>
        <w:rPr>
          <w:rFonts w:ascii="Tahoma" w:eastAsia="Times New Roman" w:hAnsi="Tahoma" w:cs="Tahoma"/>
          <w:sz w:val="20"/>
          <w:szCs w:val="20"/>
        </w:rPr>
      </w:pPr>
      <w:r w:rsidRPr="000E2161">
        <w:rPr>
          <w:rFonts w:ascii="Tahoma" w:eastAsia="Times New Roman" w:hAnsi="Tahoma" w:cs="Tahoma"/>
          <w:bCs/>
          <w:color w:val="000000"/>
          <w:sz w:val="20"/>
          <w:szCs w:val="20"/>
          <w:lang w:eastAsia="tr-TR"/>
        </w:rPr>
        <w:t xml:space="preserve">Tebliğ’de yer alan hükmün iptali ile birlikte, Gelir İdaresi Başkanlığının 16.12.2016 tarih ve </w:t>
      </w:r>
      <w:r w:rsidRPr="000E2161">
        <w:rPr>
          <w:rFonts w:ascii="Tahoma" w:eastAsia="Times New Roman" w:hAnsi="Tahoma" w:cs="Tahoma"/>
          <w:sz w:val="20"/>
          <w:szCs w:val="20"/>
        </w:rPr>
        <w:t>135489 sayılı Genel Yazısı uyarınca net alan uygulamasında, 01.05.2014 tarihinden sonra yapılan konut teslimlerinde konutun net alanının tespitinde Planlı Alanlar Tip İmar Yönetmeliği hükümlerinin dikkate alınması gerektiği belirtilmiştir.</w:t>
      </w:r>
    </w:p>
    <w:p w:rsidR="003D4CFB" w:rsidRDefault="003D4CFB" w:rsidP="003D4CFB">
      <w:pPr>
        <w:shd w:val="clear" w:color="auto" w:fill="FFFFFF"/>
        <w:spacing w:before="120"/>
        <w:jc w:val="both"/>
        <w:rPr>
          <w:rFonts w:ascii="Tahoma" w:eastAsia="Times New Roman" w:hAnsi="Tahoma" w:cs="Tahoma"/>
          <w:sz w:val="20"/>
          <w:szCs w:val="20"/>
        </w:rPr>
      </w:pPr>
      <w:r w:rsidRPr="000E2161">
        <w:rPr>
          <w:rFonts w:ascii="Tahoma" w:eastAsia="Times New Roman" w:hAnsi="Tahoma" w:cs="Tahoma"/>
          <w:bCs/>
          <w:color w:val="000000"/>
          <w:sz w:val="20"/>
          <w:szCs w:val="20"/>
          <w:lang w:eastAsia="tr-TR"/>
        </w:rPr>
        <w:t xml:space="preserve">Gelir İdaresi Başkanlığının 16.12.2016 tarih ve </w:t>
      </w:r>
      <w:r w:rsidRPr="000E2161">
        <w:rPr>
          <w:rFonts w:ascii="Tahoma" w:eastAsia="Times New Roman" w:hAnsi="Tahoma" w:cs="Tahoma"/>
          <w:sz w:val="20"/>
          <w:szCs w:val="20"/>
        </w:rPr>
        <w:t>135489 sayılı Genel Yazısı aşağıda yer almaktadır.</w:t>
      </w:r>
    </w:p>
    <w:p w:rsidR="006B6278" w:rsidRDefault="006B6278" w:rsidP="003D4CFB">
      <w:pPr>
        <w:shd w:val="clear" w:color="auto" w:fill="FFFFFF"/>
        <w:spacing w:after="0"/>
        <w:ind w:left="425"/>
        <w:jc w:val="center"/>
        <w:rPr>
          <w:rFonts w:ascii="Tahoma" w:hAnsi="Tahoma" w:cs="Tahoma"/>
          <w:b/>
          <w:sz w:val="20"/>
          <w:szCs w:val="20"/>
        </w:rPr>
      </w:pPr>
    </w:p>
    <w:p w:rsidR="006B6278" w:rsidRDefault="006B6278" w:rsidP="003D4CFB">
      <w:pPr>
        <w:shd w:val="clear" w:color="auto" w:fill="FFFFFF"/>
        <w:spacing w:after="0"/>
        <w:ind w:left="425"/>
        <w:jc w:val="center"/>
        <w:rPr>
          <w:rFonts w:ascii="Tahoma" w:hAnsi="Tahoma" w:cs="Tahoma"/>
          <w:b/>
          <w:sz w:val="20"/>
          <w:szCs w:val="20"/>
        </w:rPr>
      </w:pPr>
    </w:p>
    <w:p w:rsidR="006B6278" w:rsidRDefault="006B6278" w:rsidP="003D4CFB">
      <w:pPr>
        <w:shd w:val="clear" w:color="auto" w:fill="FFFFFF"/>
        <w:spacing w:after="0"/>
        <w:ind w:left="425"/>
        <w:jc w:val="center"/>
        <w:rPr>
          <w:rFonts w:ascii="Tahoma" w:hAnsi="Tahoma" w:cs="Tahoma"/>
          <w:b/>
          <w:sz w:val="20"/>
          <w:szCs w:val="20"/>
        </w:rPr>
      </w:pPr>
    </w:p>
    <w:p w:rsidR="006B6278" w:rsidRDefault="006B6278" w:rsidP="003D4CFB">
      <w:pPr>
        <w:shd w:val="clear" w:color="auto" w:fill="FFFFFF"/>
        <w:spacing w:after="0"/>
        <w:ind w:left="425"/>
        <w:jc w:val="center"/>
        <w:rPr>
          <w:rFonts w:ascii="Tahoma" w:hAnsi="Tahoma" w:cs="Tahoma"/>
          <w:b/>
          <w:sz w:val="20"/>
          <w:szCs w:val="20"/>
        </w:rPr>
      </w:pPr>
    </w:p>
    <w:p w:rsidR="003D4CFB" w:rsidRPr="000E2161" w:rsidRDefault="003D4CFB" w:rsidP="003D4CFB">
      <w:pPr>
        <w:shd w:val="clear" w:color="auto" w:fill="FFFFFF"/>
        <w:spacing w:after="0"/>
        <w:ind w:left="425"/>
        <w:jc w:val="center"/>
        <w:rPr>
          <w:rFonts w:ascii="Tahoma" w:hAnsi="Tahoma" w:cs="Tahoma"/>
          <w:b/>
          <w:sz w:val="20"/>
          <w:szCs w:val="20"/>
        </w:rPr>
      </w:pPr>
      <w:r>
        <w:rPr>
          <w:rFonts w:ascii="Tahoma" w:hAnsi="Tahoma" w:cs="Tahoma"/>
          <w:b/>
          <w:sz w:val="20"/>
          <w:szCs w:val="20"/>
        </w:rPr>
        <w:lastRenderedPageBreak/>
        <w:t>“</w:t>
      </w:r>
      <w:r w:rsidRPr="000E2161">
        <w:rPr>
          <w:rFonts w:ascii="Tahoma" w:hAnsi="Tahoma" w:cs="Tahoma"/>
          <w:b/>
          <w:sz w:val="20"/>
          <w:szCs w:val="20"/>
        </w:rPr>
        <w:t>T.C.</w:t>
      </w:r>
    </w:p>
    <w:p w:rsidR="003D4CFB" w:rsidRPr="000E2161" w:rsidRDefault="003D4CFB" w:rsidP="003D4CFB">
      <w:pPr>
        <w:shd w:val="clear" w:color="auto" w:fill="FFFFFF"/>
        <w:spacing w:after="0"/>
        <w:ind w:left="425"/>
        <w:jc w:val="center"/>
        <w:rPr>
          <w:rFonts w:ascii="Tahoma" w:eastAsia="Times New Roman" w:hAnsi="Tahoma" w:cs="Tahoma"/>
          <w:b/>
          <w:sz w:val="20"/>
          <w:szCs w:val="20"/>
        </w:rPr>
      </w:pPr>
      <w:r w:rsidRPr="000E2161">
        <w:rPr>
          <w:rFonts w:ascii="Tahoma" w:hAnsi="Tahoma" w:cs="Tahoma"/>
          <w:b/>
          <w:sz w:val="20"/>
          <w:szCs w:val="20"/>
        </w:rPr>
        <w:t>MAL</w:t>
      </w:r>
      <w:r w:rsidRPr="000E2161">
        <w:rPr>
          <w:rFonts w:ascii="Tahoma" w:eastAsia="Times New Roman" w:hAnsi="Tahoma" w:cs="Tahoma"/>
          <w:b/>
          <w:sz w:val="20"/>
          <w:szCs w:val="20"/>
        </w:rPr>
        <w:t>İYE BAKANLIĞI</w:t>
      </w:r>
    </w:p>
    <w:p w:rsidR="003D4CFB" w:rsidRPr="000E2161" w:rsidRDefault="003D4CFB" w:rsidP="003D4CFB">
      <w:pPr>
        <w:shd w:val="clear" w:color="auto" w:fill="FFFFFF"/>
        <w:spacing w:after="0"/>
        <w:ind w:left="425"/>
        <w:jc w:val="center"/>
        <w:rPr>
          <w:rFonts w:ascii="Tahoma" w:hAnsi="Tahoma" w:cs="Tahoma"/>
          <w:b/>
          <w:sz w:val="20"/>
          <w:szCs w:val="20"/>
        </w:rPr>
      </w:pPr>
      <w:r w:rsidRPr="000E2161">
        <w:rPr>
          <w:rFonts w:ascii="Tahoma" w:eastAsia="Times New Roman" w:hAnsi="Tahoma" w:cs="Tahoma"/>
          <w:b/>
          <w:sz w:val="20"/>
          <w:szCs w:val="20"/>
        </w:rPr>
        <w:t>Gelir İdaresi Başkanlığı</w:t>
      </w:r>
    </w:p>
    <w:p w:rsidR="003D4CFB" w:rsidRPr="000E2161" w:rsidRDefault="003D4CFB" w:rsidP="003D4CFB">
      <w:pPr>
        <w:shd w:val="clear" w:color="auto" w:fill="FFFFFF"/>
        <w:tabs>
          <w:tab w:val="left" w:pos="1120"/>
        </w:tabs>
        <w:spacing w:after="0"/>
        <w:ind w:left="425"/>
        <w:jc w:val="both"/>
        <w:rPr>
          <w:rFonts w:ascii="Tahoma" w:hAnsi="Tahoma" w:cs="Tahoma"/>
          <w:sz w:val="20"/>
          <w:szCs w:val="20"/>
        </w:rPr>
      </w:pPr>
      <w:r w:rsidRPr="000E2161">
        <w:rPr>
          <w:rFonts w:ascii="Tahoma" w:hAnsi="Tahoma" w:cs="Tahoma"/>
          <w:sz w:val="20"/>
          <w:szCs w:val="20"/>
        </w:rPr>
        <w:t>Tarih</w:t>
      </w:r>
      <w:r w:rsidRPr="000E2161">
        <w:rPr>
          <w:rFonts w:ascii="Tahoma" w:hAnsi="Tahoma" w:cs="Tahoma"/>
          <w:sz w:val="20"/>
          <w:szCs w:val="20"/>
        </w:rPr>
        <w:tab/>
        <w:t xml:space="preserve">: </w:t>
      </w:r>
      <w:r w:rsidRPr="000E2161">
        <w:rPr>
          <w:rFonts w:ascii="Tahoma" w:eastAsia="Times New Roman" w:hAnsi="Tahoma" w:cs="Tahoma"/>
          <w:sz w:val="20"/>
          <w:szCs w:val="20"/>
        </w:rPr>
        <w:t>16.12.2016</w:t>
      </w:r>
    </w:p>
    <w:p w:rsidR="003D4CFB" w:rsidRPr="000E2161" w:rsidRDefault="003D4CFB" w:rsidP="003D4CFB">
      <w:pPr>
        <w:shd w:val="clear" w:color="auto" w:fill="FFFFFF"/>
        <w:tabs>
          <w:tab w:val="left" w:pos="1120"/>
        </w:tabs>
        <w:spacing w:after="0"/>
        <w:ind w:left="425"/>
        <w:jc w:val="both"/>
        <w:rPr>
          <w:rFonts w:ascii="Tahoma" w:hAnsi="Tahoma" w:cs="Tahoma"/>
          <w:sz w:val="20"/>
          <w:szCs w:val="20"/>
        </w:rPr>
      </w:pPr>
      <w:r w:rsidRPr="000E2161">
        <w:rPr>
          <w:rFonts w:ascii="Tahoma" w:hAnsi="Tahoma" w:cs="Tahoma"/>
          <w:sz w:val="20"/>
          <w:szCs w:val="20"/>
        </w:rPr>
        <w:t>Say</w:t>
      </w:r>
      <w:r w:rsidRPr="000E2161">
        <w:rPr>
          <w:rFonts w:ascii="Tahoma" w:eastAsia="Times New Roman" w:hAnsi="Tahoma" w:cs="Tahoma"/>
          <w:sz w:val="20"/>
          <w:szCs w:val="20"/>
        </w:rPr>
        <w:t>ı</w:t>
      </w:r>
      <w:r w:rsidRPr="000E2161">
        <w:rPr>
          <w:rFonts w:ascii="Tahoma" w:eastAsia="Times New Roman" w:hAnsi="Tahoma" w:cs="Tahoma"/>
          <w:sz w:val="20"/>
          <w:szCs w:val="20"/>
        </w:rPr>
        <w:tab/>
        <w:t xml:space="preserve">: </w:t>
      </w:r>
      <w:proofErr w:type="gramStart"/>
      <w:r w:rsidRPr="000E2161">
        <w:rPr>
          <w:rFonts w:ascii="Tahoma" w:eastAsia="Times New Roman" w:hAnsi="Tahoma" w:cs="Tahoma"/>
          <w:sz w:val="20"/>
          <w:szCs w:val="20"/>
        </w:rPr>
        <w:t>84958988</w:t>
      </w:r>
      <w:proofErr w:type="gramEnd"/>
      <w:r w:rsidRPr="000E2161">
        <w:rPr>
          <w:rFonts w:ascii="Tahoma" w:eastAsia="Times New Roman" w:hAnsi="Tahoma" w:cs="Tahoma"/>
          <w:sz w:val="20"/>
          <w:szCs w:val="20"/>
        </w:rPr>
        <w:t>-130[5473-174]-E.E.135489</w:t>
      </w:r>
    </w:p>
    <w:p w:rsidR="003D4CFB" w:rsidRPr="000E2161" w:rsidRDefault="003D4CFB" w:rsidP="003D4CFB">
      <w:pPr>
        <w:shd w:val="clear" w:color="auto" w:fill="FFFFFF"/>
        <w:tabs>
          <w:tab w:val="left" w:pos="1120"/>
        </w:tabs>
        <w:spacing w:after="0"/>
        <w:ind w:left="425"/>
        <w:jc w:val="both"/>
        <w:rPr>
          <w:rFonts w:ascii="Tahoma" w:hAnsi="Tahoma" w:cs="Tahoma"/>
          <w:b/>
          <w:sz w:val="20"/>
          <w:szCs w:val="20"/>
        </w:rPr>
      </w:pPr>
      <w:r w:rsidRPr="000E2161">
        <w:rPr>
          <w:rFonts w:ascii="Tahoma" w:hAnsi="Tahoma" w:cs="Tahoma"/>
          <w:sz w:val="20"/>
          <w:szCs w:val="20"/>
        </w:rPr>
        <w:t>Konu</w:t>
      </w:r>
      <w:r w:rsidRPr="000E2161">
        <w:rPr>
          <w:rFonts w:ascii="Tahoma" w:hAnsi="Tahoma" w:cs="Tahoma"/>
          <w:sz w:val="20"/>
          <w:szCs w:val="20"/>
        </w:rPr>
        <w:tab/>
        <w:t xml:space="preserve">: </w:t>
      </w:r>
      <w:r w:rsidRPr="000E2161">
        <w:rPr>
          <w:rFonts w:ascii="Tahoma" w:hAnsi="Tahoma" w:cs="Tahoma"/>
          <w:b/>
          <w:sz w:val="20"/>
          <w:szCs w:val="20"/>
        </w:rPr>
        <w:t>NET ALAN</w:t>
      </w:r>
    </w:p>
    <w:p w:rsidR="003D4CFB" w:rsidRPr="000E2161" w:rsidRDefault="003D4CFB" w:rsidP="003D4CFB">
      <w:pPr>
        <w:shd w:val="clear" w:color="auto" w:fill="FFFFFF"/>
        <w:spacing w:after="120"/>
        <w:ind w:left="425"/>
        <w:jc w:val="center"/>
        <w:rPr>
          <w:rFonts w:ascii="Tahoma" w:hAnsi="Tahoma" w:cs="Tahoma"/>
          <w:b/>
          <w:sz w:val="20"/>
          <w:szCs w:val="20"/>
        </w:rPr>
      </w:pPr>
      <w:r w:rsidRPr="000E2161">
        <w:rPr>
          <w:rFonts w:ascii="Tahoma" w:hAnsi="Tahoma" w:cs="Tahoma"/>
          <w:b/>
          <w:sz w:val="20"/>
          <w:szCs w:val="20"/>
        </w:rPr>
        <w:t>DA</w:t>
      </w:r>
      <w:r w:rsidRPr="000E2161">
        <w:rPr>
          <w:rFonts w:ascii="Tahoma" w:eastAsia="Times New Roman" w:hAnsi="Tahoma" w:cs="Tahoma"/>
          <w:b/>
          <w:sz w:val="20"/>
          <w:szCs w:val="20"/>
        </w:rPr>
        <w:t>ĞITIM YERLERİNE</w:t>
      </w:r>
    </w:p>
    <w:p w:rsidR="003D4CFB" w:rsidRPr="000E2161" w:rsidRDefault="003D4CFB" w:rsidP="003D4CFB">
      <w:pPr>
        <w:shd w:val="clear" w:color="auto" w:fill="FFFFFF"/>
        <w:spacing w:after="120"/>
        <w:ind w:left="425"/>
        <w:jc w:val="both"/>
        <w:rPr>
          <w:rFonts w:ascii="Tahoma" w:hAnsi="Tahoma" w:cs="Tahoma"/>
          <w:sz w:val="20"/>
          <w:szCs w:val="20"/>
        </w:rPr>
      </w:pPr>
      <w:r w:rsidRPr="000E2161">
        <w:rPr>
          <w:rFonts w:ascii="Tahoma" w:hAnsi="Tahoma" w:cs="Tahoma"/>
          <w:sz w:val="20"/>
          <w:szCs w:val="20"/>
        </w:rPr>
        <w:t>Ba</w:t>
      </w:r>
      <w:r w:rsidRPr="000E2161">
        <w:rPr>
          <w:rFonts w:ascii="Tahoma" w:eastAsia="Times New Roman" w:hAnsi="Tahoma" w:cs="Tahoma"/>
          <w:sz w:val="20"/>
          <w:szCs w:val="20"/>
        </w:rPr>
        <w:t>şkanlığımıza gerek taşra teşkilatımızdan gerekse mükelleflerden intikal eden başvurulardan, Katma Değer Vergisi (KDV) Genel Uygulama Tebliğinin “</w:t>
      </w:r>
      <w:r w:rsidRPr="000E2161">
        <w:rPr>
          <w:rFonts w:ascii="Tahoma" w:eastAsia="Times New Roman" w:hAnsi="Tahoma" w:cs="Tahoma"/>
          <w:iCs/>
          <w:sz w:val="20"/>
          <w:szCs w:val="20"/>
        </w:rPr>
        <w:t>Net Alan</w:t>
      </w:r>
      <w:r w:rsidRPr="000E2161">
        <w:rPr>
          <w:rFonts w:ascii="Tahoma" w:eastAsia="Times New Roman" w:hAnsi="Tahoma" w:cs="Tahoma"/>
          <w:sz w:val="20"/>
          <w:szCs w:val="20"/>
        </w:rPr>
        <w:t>” başlıklı (III/B-2.1.3) bölümü ile (III/B-3.1.3.1) ayrımında yer alan “</w:t>
      </w:r>
      <w:r w:rsidRPr="000E2161">
        <w:rPr>
          <w:rFonts w:ascii="Tahoma" w:eastAsia="Times New Roman" w:hAnsi="Tahoma" w:cs="Tahoma"/>
          <w:iCs/>
          <w:sz w:val="20"/>
          <w:szCs w:val="20"/>
        </w:rPr>
        <w:t>Örnek 2</w:t>
      </w:r>
      <w:r w:rsidRPr="000E2161">
        <w:rPr>
          <w:rFonts w:ascii="Tahoma" w:eastAsia="Times New Roman" w:hAnsi="Tahoma" w:cs="Tahoma"/>
          <w:sz w:val="20"/>
          <w:szCs w:val="20"/>
        </w:rPr>
        <w:t>”nin yürütmesinin durdurulmasına karar verildiğinden bahisle, konutların net alanının tespitinde Çevre ve Şehircilik Bakanlığı tarafından yayımlanan “</w:t>
      </w:r>
      <w:r w:rsidRPr="000E2161">
        <w:rPr>
          <w:rFonts w:ascii="Tahoma" w:eastAsia="Times New Roman" w:hAnsi="Tahoma" w:cs="Tahoma"/>
          <w:iCs/>
          <w:sz w:val="20"/>
          <w:szCs w:val="20"/>
        </w:rPr>
        <w:t>Planlı Alanlar Tip İmar Yönetmeliği</w:t>
      </w:r>
      <w:r w:rsidRPr="000E2161">
        <w:rPr>
          <w:rFonts w:ascii="Tahoma" w:eastAsia="Times New Roman" w:hAnsi="Tahoma" w:cs="Tahoma"/>
          <w:sz w:val="20"/>
          <w:szCs w:val="20"/>
        </w:rPr>
        <w:t>”nin esas alınıp alınmayacağı ile “</w:t>
      </w:r>
      <w:r w:rsidRPr="000E2161">
        <w:rPr>
          <w:rFonts w:ascii="Tahoma" w:eastAsia="Times New Roman" w:hAnsi="Tahoma" w:cs="Tahoma"/>
          <w:iCs/>
          <w:sz w:val="20"/>
          <w:szCs w:val="20"/>
        </w:rPr>
        <w:t>Örnek 2</w:t>
      </w:r>
      <w:r w:rsidRPr="000E2161">
        <w:rPr>
          <w:rFonts w:ascii="Tahoma" w:eastAsia="Times New Roman" w:hAnsi="Tahoma" w:cs="Tahoma"/>
          <w:sz w:val="20"/>
          <w:szCs w:val="20"/>
        </w:rPr>
        <w:t xml:space="preserve">”nin uygulamasına devam edilip edilmeyeceği hakkında tereddüt </w:t>
      </w:r>
      <w:proofErr w:type="gramStart"/>
      <w:r w:rsidRPr="000E2161">
        <w:rPr>
          <w:rFonts w:ascii="Tahoma" w:eastAsia="Times New Roman" w:hAnsi="Tahoma" w:cs="Tahoma"/>
          <w:sz w:val="20"/>
          <w:szCs w:val="20"/>
        </w:rPr>
        <w:t>hasıl</w:t>
      </w:r>
      <w:proofErr w:type="gramEnd"/>
      <w:r w:rsidRPr="000E2161">
        <w:rPr>
          <w:rFonts w:ascii="Tahoma" w:eastAsia="Times New Roman" w:hAnsi="Tahoma" w:cs="Tahoma"/>
          <w:sz w:val="20"/>
          <w:szCs w:val="20"/>
        </w:rPr>
        <w:t xml:space="preserve"> olduğu anlaşılmış olup, konuya ilişkin aşağıdaki açıklamaların yapılmasına ihtiyaç duyulmuştur.</w:t>
      </w:r>
    </w:p>
    <w:p w:rsidR="003D4CFB" w:rsidRPr="000E2161" w:rsidRDefault="003D4CFB" w:rsidP="003D4CFB">
      <w:pPr>
        <w:shd w:val="clear" w:color="auto" w:fill="FFFFFF"/>
        <w:spacing w:after="120"/>
        <w:ind w:left="425"/>
        <w:jc w:val="both"/>
        <w:rPr>
          <w:rFonts w:ascii="Tahoma" w:hAnsi="Tahoma" w:cs="Tahoma"/>
          <w:b/>
          <w:sz w:val="20"/>
          <w:szCs w:val="20"/>
        </w:rPr>
      </w:pPr>
      <w:r w:rsidRPr="000E2161">
        <w:rPr>
          <w:rFonts w:ascii="Tahoma" w:hAnsi="Tahoma" w:cs="Tahoma"/>
          <w:b/>
          <w:bCs/>
          <w:sz w:val="20"/>
          <w:szCs w:val="20"/>
        </w:rPr>
        <w:t>A) NET ALAN UYGULAMASI</w:t>
      </w:r>
    </w:p>
    <w:p w:rsidR="003D4CFB" w:rsidRPr="000E2161" w:rsidRDefault="003D4CFB" w:rsidP="003D4CFB">
      <w:pPr>
        <w:shd w:val="clear" w:color="auto" w:fill="FFFFFF"/>
        <w:spacing w:after="120"/>
        <w:ind w:left="425"/>
        <w:jc w:val="both"/>
        <w:rPr>
          <w:rFonts w:ascii="Tahoma" w:hAnsi="Tahoma" w:cs="Tahoma"/>
          <w:sz w:val="20"/>
          <w:szCs w:val="20"/>
        </w:rPr>
      </w:pPr>
      <w:proofErr w:type="gramStart"/>
      <w:r w:rsidRPr="000E2161">
        <w:rPr>
          <w:rFonts w:ascii="Tahoma" w:hAnsi="Tahoma" w:cs="Tahoma"/>
          <w:sz w:val="20"/>
          <w:szCs w:val="20"/>
        </w:rPr>
        <w:t>KDV oranlar</w:t>
      </w:r>
      <w:r w:rsidRPr="000E2161">
        <w:rPr>
          <w:rFonts w:ascii="Tahoma" w:eastAsia="Times New Roman" w:hAnsi="Tahoma" w:cs="Tahoma"/>
          <w:sz w:val="20"/>
          <w:szCs w:val="20"/>
        </w:rPr>
        <w:t>ı, 3065 sayılı KDV Kanununun 28. maddesinin verdiği yetkiye dayanarak yayımlanan 2007/13033 sayılı Bakanlar Kurulu Kararnamesi (BKK) ile BKK eki I sayılı listede yer alan teslim ve hizmetler için (% 1), II sayılı listede yer alan teslim ve hizmetler için (% 8), ekli listelerde yer alanlar hariç olmak üzere vergiye tabi işlemler için (% 18) olarak belirlenmiştir.</w:t>
      </w:r>
      <w:proofErr w:type="gramEnd"/>
    </w:p>
    <w:p w:rsidR="003D4CFB" w:rsidRPr="000E2161" w:rsidRDefault="003D4CFB" w:rsidP="003D4CFB">
      <w:pPr>
        <w:shd w:val="clear" w:color="auto" w:fill="FFFFFF"/>
        <w:spacing w:after="120"/>
        <w:ind w:left="425"/>
        <w:jc w:val="both"/>
        <w:rPr>
          <w:rFonts w:ascii="Tahoma" w:hAnsi="Tahoma" w:cs="Tahoma"/>
          <w:sz w:val="20"/>
          <w:szCs w:val="20"/>
        </w:rPr>
      </w:pPr>
      <w:r w:rsidRPr="000E2161">
        <w:rPr>
          <w:rFonts w:ascii="Tahoma" w:hAnsi="Tahoma" w:cs="Tahoma"/>
          <w:sz w:val="20"/>
          <w:szCs w:val="20"/>
        </w:rPr>
        <w:t>2007/13033 say</w:t>
      </w:r>
      <w:r w:rsidRPr="000E2161">
        <w:rPr>
          <w:rFonts w:ascii="Tahoma" w:eastAsia="Times New Roman" w:hAnsi="Tahoma" w:cs="Tahoma"/>
          <w:sz w:val="20"/>
          <w:szCs w:val="20"/>
        </w:rPr>
        <w:t xml:space="preserve">ılı </w:t>
      </w:r>
      <w:proofErr w:type="spellStart"/>
      <w:r w:rsidRPr="000E2161">
        <w:rPr>
          <w:rFonts w:ascii="Tahoma" w:eastAsia="Times New Roman" w:hAnsi="Tahoma" w:cs="Tahoma"/>
          <w:sz w:val="20"/>
          <w:szCs w:val="20"/>
        </w:rPr>
        <w:t>BKK’nın</w:t>
      </w:r>
      <w:proofErr w:type="spellEnd"/>
      <w:r w:rsidRPr="000E2161">
        <w:rPr>
          <w:rFonts w:ascii="Tahoma" w:eastAsia="Times New Roman" w:hAnsi="Tahoma" w:cs="Tahoma"/>
          <w:sz w:val="20"/>
          <w:szCs w:val="20"/>
        </w:rPr>
        <w:t>;</w:t>
      </w:r>
    </w:p>
    <w:p w:rsidR="003D4CFB" w:rsidRPr="000E2161" w:rsidRDefault="003D4CFB" w:rsidP="003D4CFB">
      <w:pPr>
        <w:shd w:val="clear" w:color="auto" w:fill="FFFFFF"/>
        <w:spacing w:after="120"/>
        <w:ind w:left="425"/>
        <w:jc w:val="both"/>
        <w:rPr>
          <w:rFonts w:ascii="Tahoma" w:hAnsi="Tahoma" w:cs="Tahoma"/>
          <w:sz w:val="20"/>
          <w:szCs w:val="20"/>
        </w:rPr>
      </w:pPr>
      <w:r w:rsidRPr="000E2161">
        <w:rPr>
          <w:rFonts w:ascii="Tahoma" w:hAnsi="Tahoma" w:cs="Tahoma"/>
          <w:sz w:val="20"/>
          <w:szCs w:val="20"/>
        </w:rPr>
        <w:t>- 2. maddesinde; “</w:t>
      </w:r>
      <w:r w:rsidRPr="000E2161">
        <w:rPr>
          <w:rFonts w:ascii="Tahoma" w:hAnsi="Tahoma" w:cs="Tahoma"/>
          <w:iCs/>
          <w:sz w:val="20"/>
          <w:szCs w:val="20"/>
        </w:rPr>
        <w:t>Bu Karar kapsam</w:t>
      </w:r>
      <w:r w:rsidRPr="000E2161">
        <w:rPr>
          <w:rFonts w:ascii="Tahoma" w:eastAsia="Times New Roman" w:hAnsi="Tahoma" w:cs="Tahoma"/>
          <w:iCs/>
          <w:sz w:val="20"/>
          <w:szCs w:val="20"/>
        </w:rPr>
        <w:t>ındaki mal ve hizmetleri tanımlamaya Maliye Bakanlığı yetkilidir.</w:t>
      </w:r>
      <w:r w:rsidRPr="000E2161">
        <w:rPr>
          <w:rFonts w:ascii="Tahoma" w:eastAsia="Times New Roman" w:hAnsi="Tahoma" w:cs="Tahoma"/>
          <w:sz w:val="20"/>
          <w:szCs w:val="20"/>
        </w:rPr>
        <w:t>” ifadesine,</w:t>
      </w:r>
    </w:p>
    <w:p w:rsidR="003D4CFB" w:rsidRPr="000E2161" w:rsidRDefault="003D4CFB" w:rsidP="003D4CFB">
      <w:pPr>
        <w:shd w:val="clear" w:color="auto" w:fill="FFFFFF"/>
        <w:spacing w:after="120"/>
        <w:ind w:left="425"/>
        <w:jc w:val="both"/>
        <w:rPr>
          <w:rFonts w:ascii="Tahoma" w:hAnsi="Tahoma" w:cs="Tahoma"/>
          <w:sz w:val="20"/>
          <w:szCs w:val="20"/>
        </w:rPr>
      </w:pPr>
      <w:r w:rsidRPr="000E2161">
        <w:rPr>
          <w:rFonts w:ascii="Tahoma" w:hAnsi="Tahoma" w:cs="Tahoma"/>
          <w:sz w:val="20"/>
          <w:szCs w:val="20"/>
        </w:rPr>
        <w:t>- Eki (I) say</w:t>
      </w:r>
      <w:r w:rsidRPr="000E2161">
        <w:rPr>
          <w:rFonts w:ascii="Tahoma" w:eastAsia="Times New Roman" w:hAnsi="Tahoma" w:cs="Tahoma"/>
          <w:sz w:val="20"/>
          <w:szCs w:val="20"/>
        </w:rPr>
        <w:t>ılı listenin 11 inci sırasında “</w:t>
      </w:r>
      <w:r w:rsidRPr="000E2161">
        <w:rPr>
          <w:rFonts w:ascii="Tahoma" w:eastAsia="Times New Roman" w:hAnsi="Tahoma" w:cs="Tahoma"/>
          <w:iCs/>
          <w:sz w:val="20"/>
          <w:szCs w:val="20"/>
        </w:rPr>
        <w:t>Net alanı 150 m²’ye kadar konut teslimleri</w:t>
      </w:r>
      <w:r w:rsidRPr="000E2161">
        <w:rPr>
          <w:rFonts w:ascii="Tahoma" w:eastAsia="Times New Roman" w:hAnsi="Tahoma" w:cs="Tahoma"/>
          <w:sz w:val="20"/>
          <w:szCs w:val="20"/>
        </w:rPr>
        <w:t>” ifadesine,</w:t>
      </w:r>
    </w:p>
    <w:p w:rsidR="003D4CFB" w:rsidRPr="000E2161" w:rsidRDefault="003D4CFB" w:rsidP="003D4CFB">
      <w:pPr>
        <w:shd w:val="clear" w:color="auto" w:fill="FFFFFF"/>
        <w:spacing w:after="120"/>
        <w:ind w:left="425"/>
        <w:jc w:val="both"/>
        <w:rPr>
          <w:rFonts w:ascii="Tahoma" w:hAnsi="Tahoma" w:cs="Tahoma"/>
          <w:sz w:val="20"/>
          <w:szCs w:val="20"/>
        </w:rPr>
      </w:pPr>
      <w:proofErr w:type="gramStart"/>
      <w:r w:rsidRPr="000E2161">
        <w:rPr>
          <w:rFonts w:ascii="Tahoma" w:hAnsi="Tahoma" w:cs="Tahoma"/>
          <w:sz w:val="20"/>
          <w:szCs w:val="20"/>
        </w:rPr>
        <w:t>yer</w:t>
      </w:r>
      <w:proofErr w:type="gramEnd"/>
      <w:r w:rsidRPr="000E2161">
        <w:rPr>
          <w:rFonts w:ascii="Tahoma" w:hAnsi="Tahoma" w:cs="Tahoma"/>
          <w:sz w:val="20"/>
          <w:szCs w:val="20"/>
        </w:rPr>
        <w:t xml:space="preserve"> verilmi</w:t>
      </w:r>
      <w:r w:rsidRPr="000E2161">
        <w:rPr>
          <w:rFonts w:ascii="Tahoma" w:eastAsia="Times New Roman" w:hAnsi="Tahoma" w:cs="Tahoma"/>
          <w:sz w:val="20"/>
          <w:szCs w:val="20"/>
        </w:rPr>
        <w:t>ştir.</w:t>
      </w:r>
    </w:p>
    <w:p w:rsidR="003D4CFB" w:rsidRPr="000E2161" w:rsidRDefault="003D4CFB" w:rsidP="003D4CFB">
      <w:pPr>
        <w:shd w:val="clear" w:color="auto" w:fill="FFFFFF"/>
        <w:spacing w:after="120"/>
        <w:ind w:left="425"/>
        <w:jc w:val="both"/>
        <w:rPr>
          <w:rFonts w:ascii="Tahoma" w:hAnsi="Tahoma" w:cs="Tahoma"/>
          <w:sz w:val="20"/>
          <w:szCs w:val="20"/>
        </w:rPr>
      </w:pPr>
      <w:r w:rsidRPr="000E2161">
        <w:rPr>
          <w:rFonts w:ascii="Tahoma" w:hAnsi="Tahoma" w:cs="Tahoma"/>
          <w:sz w:val="20"/>
          <w:szCs w:val="20"/>
        </w:rPr>
        <w:t>KDV Genel Uygulama Tebli</w:t>
      </w:r>
      <w:r w:rsidRPr="000E2161">
        <w:rPr>
          <w:rFonts w:ascii="Tahoma" w:eastAsia="Times New Roman" w:hAnsi="Tahoma" w:cs="Tahoma"/>
          <w:sz w:val="20"/>
          <w:szCs w:val="20"/>
        </w:rPr>
        <w:t>ğinin;</w:t>
      </w:r>
    </w:p>
    <w:p w:rsidR="003D4CFB" w:rsidRPr="000E2161" w:rsidRDefault="003D4CFB" w:rsidP="003D4CFB">
      <w:pPr>
        <w:shd w:val="clear" w:color="auto" w:fill="FFFFFF"/>
        <w:spacing w:after="120"/>
        <w:ind w:left="425"/>
        <w:jc w:val="both"/>
        <w:rPr>
          <w:rFonts w:ascii="Tahoma" w:hAnsi="Tahoma" w:cs="Tahoma"/>
          <w:sz w:val="20"/>
          <w:szCs w:val="20"/>
        </w:rPr>
      </w:pPr>
      <w:r w:rsidRPr="000E2161">
        <w:rPr>
          <w:rFonts w:ascii="Tahoma" w:hAnsi="Tahoma" w:cs="Tahoma"/>
          <w:sz w:val="20"/>
          <w:szCs w:val="20"/>
        </w:rPr>
        <w:t>- (III/B-2.1.3) b</w:t>
      </w:r>
      <w:r w:rsidRPr="000E2161">
        <w:rPr>
          <w:rFonts w:ascii="Tahoma" w:eastAsia="Times New Roman" w:hAnsi="Tahoma" w:cs="Tahoma"/>
          <w:sz w:val="20"/>
          <w:szCs w:val="20"/>
        </w:rPr>
        <w:t>ölümünde, 2007/13033 sayılı BKK eki (I) sayılı listenin 11. sırasında yer alan “</w:t>
      </w:r>
      <w:r w:rsidRPr="000E2161">
        <w:rPr>
          <w:rFonts w:ascii="Tahoma" w:eastAsia="Times New Roman" w:hAnsi="Tahoma" w:cs="Tahoma"/>
          <w:iCs/>
          <w:sz w:val="20"/>
          <w:szCs w:val="20"/>
        </w:rPr>
        <w:t>net alan</w:t>
      </w:r>
      <w:r w:rsidRPr="000E2161">
        <w:rPr>
          <w:rFonts w:ascii="Tahoma" w:eastAsia="Times New Roman" w:hAnsi="Tahoma" w:cs="Tahoma"/>
          <w:sz w:val="20"/>
          <w:szCs w:val="20"/>
        </w:rPr>
        <w:t>”ın tanımlanmasına ilişkin açıklamalara,</w:t>
      </w:r>
    </w:p>
    <w:p w:rsidR="003D4CFB" w:rsidRPr="000E2161" w:rsidRDefault="003D4CFB" w:rsidP="003D4CFB">
      <w:pPr>
        <w:shd w:val="clear" w:color="auto" w:fill="FFFFFF"/>
        <w:spacing w:after="120"/>
        <w:ind w:left="425"/>
        <w:jc w:val="both"/>
        <w:rPr>
          <w:rFonts w:ascii="Tahoma" w:hAnsi="Tahoma" w:cs="Tahoma"/>
          <w:sz w:val="20"/>
          <w:szCs w:val="20"/>
        </w:rPr>
      </w:pPr>
      <w:r w:rsidRPr="000E2161">
        <w:rPr>
          <w:rFonts w:ascii="Tahoma" w:hAnsi="Tahoma" w:cs="Tahoma"/>
          <w:sz w:val="20"/>
          <w:szCs w:val="20"/>
        </w:rPr>
        <w:t>- (III/B-3.1.3) b</w:t>
      </w:r>
      <w:r w:rsidRPr="000E2161">
        <w:rPr>
          <w:rFonts w:ascii="Tahoma" w:eastAsia="Times New Roman" w:hAnsi="Tahoma" w:cs="Tahoma"/>
          <w:sz w:val="20"/>
          <w:szCs w:val="20"/>
        </w:rPr>
        <w:t>ölümünde, KDV Kanununun 29/2. maddesi uyarınca, indirimli orana tabi işlemlere ilişkin yüklenilen ve indirim yoluyla telafi edilemeyen KDV’nin iadesine ilişkin usul ve esaslara</w:t>
      </w:r>
    </w:p>
    <w:p w:rsidR="003D4CFB" w:rsidRPr="000E2161" w:rsidRDefault="003D4CFB" w:rsidP="003D4CFB">
      <w:pPr>
        <w:shd w:val="clear" w:color="auto" w:fill="FFFFFF"/>
        <w:spacing w:after="120"/>
        <w:ind w:left="425"/>
        <w:jc w:val="both"/>
        <w:rPr>
          <w:rFonts w:ascii="Tahoma" w:hAnsi="Tahoma" w:cs="Tahoma"/>
          <w:sz w:val="20"/>
          <w:szCs w:val="20"/>
        </w:rPr>
      </w:pPr>
      <w:proofErr w:type="gramStart"/>
      <w:r w:rsidRPr="000E2161">
        <w:rPr>
          <w:rFonts w:ascii="Tahoma" w:hAnsi="Tahoma" w:cs="Tahoma"/>
          <w:sz w:val="20"/>
          <w:szCs w:val="20"/>
        </w:rPr>
        <w:t>yer</w:t>
      </w:r>
      <w:proofErr w:type="gramEnd"/>
      <w:r w:rsidRPr="000E2161">
        <w:rPr>
          <w:rFonts w:ascii="Tahoma" w:hAnsi="Tahoma" w:cs="Tahoma"/>
          <w:sz w:val="20"/>
          <w:szCs w:val="20"/>
        </w:rPr>
        <w:t xml:space="preserve"> verilmi</w:t>
      </w:r>
      <w:r w:rsidRPr="000E2161">
        <w:rPr>
          <w:rFonts w:ascii="Tahoma" w:eastAsia="Times New Roman" w:hAnsi="Tahoma" w:cs="Tahoma"/>
          <w:sz w:val="20"/>
          <w:szCs w:val="20"/>
        </w:rPr>
        <w:t>ştir.</w:t>
      </w:r>
    </w:p>
    <w:p w:rsidR="003D4CFB" w:rsidRPr="000E2161" w:rsidRDefault="003D4CFB" w:rsidP="003D4CFB">
      <w:pPr>
        <w:shd w:val="clear" w:color="auto" w:fill="FFFFFF"/>
        <w:spacing w:after="120"/>
        <w:ind w:left="425"/>
        <w:jc w:val="both"/>
        <w:rPr>
          <w:rFonts w:ascii="Tahoma" w:hAnsi="Tahoma" w:cs="Tahoma"/>
          <w:sz w:val="20"/>
          <w:szCs w:val="20"/>
        </w:rPr>
      </w:pPr>
      <w:proofErr w:type="gramStart"/>
      <w:r w:rsidRPr="000E2161">
        <w:rPr>
          <w:rFonts w:ascii="Tahoma" w:hAnsi="Tahoma" w:cs="Tahoma"/>
          <w:sz w:val="20"/>
          <w:szCs w:val="20"/>
        </w:rPr>
        <w:t>KDV Genel Uygulama Tebli</w:t>
      </w:r>
      <w:r w:rsidRPr="000E2161">
        <w:rPr>
          <w:rFonts w:ascii="Tahoma" w:eastAsia="Times New Roman" w:hAnsi="Tahoma" w:cs="Tahoma"/>
          <w:sz w:val="20"/>
          <w:szCs w:val="20"/>
        </w:rPr>
        <w:t>ğinin (III/B-2.1.3) bölümü ile (III/B-3.1.3.1) ayrımında yer alan “</w:t>
      </w:r>
      <w:r w:rsidRPr="000E2161">
        <w:rPr>
          <w:rFonts w:ascii="Tahoma" w:eastAsia="Times New Roman" w:hAnsi="Tahoma" w:cs="Tahoma"/>
          <w:iCs/>
          <w:sz w:val="20"/>
          <w:szCs w:val="20"/>
        </w:rPr>
        <w:t>Örnek 2</w:t>
      </w:r>
      <w:r w:rsidRPr="000E2161">
        <w:rPr>
          <w:rFonts w:ascii="Tahoma" w:eastAsia="Times New Roman" w:hAnsi="Tahoma" w:cs="Tahoma"/>
          <w:sz w:val="20"/>
          <w:szCs w:val="20"/>
        </w:rPr>
        <w:t xml:space="preserve">”nin iptali ve yürütmesinin durdurulması istemiyle açılan davada, Danıştay Dördüncü Dairesinin 10.12.2014 tarihli ve Esas No: 2014/4835 sayılı Kararı ile KDV Genel Uygulama Tebliğinin (III/B-2.1.3) bölümünde yer alan “2.1.3. </w:t>
      </w:r>
      <w:r w:rsidRPr="000E2161">
        <w:rPr>
          <w:rFonts w:ascii="Tahoma" w:eastAsia="Times New Roman" w:hAnsi="Tahoma" w:cs="Tahoma"/>
          <w:iCs/>
          <w:sz w:val="20"/>
          <w:szCs w:val="20"/>
        </w:rPr>
        <w:t>Net Alan</w:t>
      </w:r>
      <w:r w:rsidRPr="000E2161">
        <w:rPr>
          <w:rFonts w:ascii="Tahoma" w:eastAsia="Times New Roman" w:hAnsi="Tahoma" w:cs="Tahoma"/>
          <w:sz w:val="20"/>
          <w:szCs w:val="20"/>
        </w:rPr>
        <w:t>” başlıklı düzenlemesinin yürütmesinin durdurulmasına karar verilmiştir.</w:t>
      </w:r>
      <w:proofErr w:type="gramEnd"/>
    </w:p>
    <w:p w:rsidR="003D4CFB" w:rsidRPr="000E2161" w:rsidRDefault="003D4CFB" w:rsidP="003D4CFB">
      <w:pPr>
        <w:shd w:val="clear" w:color="auto" w:fill="FFFFFF"/>
        <w:spacing w:after="120"/>
        <w:ind w:left="425"/>
        <w:jc w:val="both"/>
        <w:rPr>
          <w:rFonts w:ascii="Tahoma" w:hAnsi="Tahoma" w:cs="Tahoma"/>
          <w:sz w:val="20"/>
          <w:szCs w:val="20"/>
        </w:rPr>
      </w:pPr>
      <w:r w:rsidRPr="000E2161">
        <w:rPr>
          <w:rFonts w:ascii="Tahoma" w:hAnsi="Tahoma" w:cs="Tahoma"/>
          <w:sz w:val="20"/>
          <w:szCs w:val="20"/>
        </w:rPr>
        <w:t>Y</w:t>
      </w:r>
      <w:r w:rsidRPr="000E2161">
        <w:rPr>
          <w:rFonts w:ascii="Tahoma" w:eastAsia="Times New Roman" w:hAnsi="Tahoma" w:cs="Tahoma"/>
          <w:sz w:val="20"/>
          <w:szCs w:val="20"/>
        </w:rPr>
        <w:t>ürütmenin durdurulması kararına Bakanlığımız tarafından itiraz edilmesi üzerine Danıştay Vergi Dava Daireleri Genel Kurulunun 25.03.2015 tarihli ve YD İtiraz No:2015/5 sayılı Kararı ile “</w:t>
      </w:r>
      <w:r w:rsidRPr="000E2161">
        <w:rPr>
          <w:rFonts w:ascii="Tahoma" w:eastAsia="Times New Roman" w:hAnsi="Tahoma" w:cs="Tahoma"/>
          <w:iCs/>
          <w:sz w:val="20"/>
          <w:szCs w:val="20"/>
        </w:rPr>
        <w:t>Net alan</w:t>
      </w:r>
      <w:r w:rsidRPr="000E2161">
        <w:rPr>
          <w:rFonts w:ascii="Tahoma" w:eastAsia="Times New Roman" w:hAnsi="Tahoma" w:cs="Tahoma"/>
          <w:sz w:val="20"/>
          <w:szCs w:val="20"/>
        </w:rPr>
        <w:t>” ile ilgili hüküm fıkrasına karşı yapılan itirazımızın reddine karar verilmiştir.</w:t>
      </w:r>
    </w:p>
    <w:p w:rsidR="003D4CFB" w:rsidRDefault="003D4CFB" w:rsidP="003D4CFB">
      <w:pPr>
        <w:shd w:val="clear" w:color="auto" w:fill="FFFFFF"/>
        <w:spacing w:after="120"/>
        <w:ind w:left="425"/>
        <w:jc w:val="both"/>
        <w:rPr>
          <w:rFonts w:ascii="Tahoma" w:eastAsia="Times New Roman" w:hAnsi="Tahoma" w:cs="Tahoma"/>
          <w:b/>
          <w:sz w:val="20"/>
          <w:szCs w:val="20"/>
        </w:rPr>
      </w:pPr>
      <w:proofErr w:type="gramStart"/>
      <w:r w:rsidRPr="000E2161">
        <w:rPr>
          <w:rFonts w:ascii="Tahoma" w:hAnsi="Tahoma" w:cs="Tahoma"/>
          <w:sz w:val="20"/>
          <w:szCs w:val="20"/>
        </w:rPr>
        <w:t xml:space="preserve">Bu </w:t>
      </w:r>
      <w:r w:rsidRPr="000E2161">
        <w:rPr>
          <w:rFonts w:ascii="Tahoma" w:eastAsia="Times New Roman" w:hAnsi="Tahoma" w:cs="Tahoma"/>
          <w:sz w:val="20"/>
          <w:szCs w:val="20"/>
        </w:rPr>
        <w:t xml:space="preserve">çerçevede, Danıştay Dördüncü Dairesinin 10.12.2014 tarih ve Esas No: 2014/4835 sayılı Kararı ile KDV Genel Uygulama Tebliğinin (III/B-2.1.3) bölümünün yürütmesi durdurulduğundan ve bu Karar dava konusu işlemin yürütülebilirliğini tesis edildiği tarihten itibaren askıya aldığından, KDV Genel Uygulama Tebliğinin (III/B-2.1.3) bölümünün tesis edildiği 1.5.2014 tarihinden sonraki teslimlerde Tebliğ hükümlerinin dikkate alınması mümkün değildir. </w:t>
      </w:r>
      <w:proofErr w:type="gramEnd"/>
      <w:r w:rsidRPr="000E2161">
        <w:rPr>
          <w:rFonts w:ascii="Tahoma" w:eastAsia="Times New Roman" w:hAnsi="Tahoma" w:cs="Tahoma"/>
          <w:b/>
          <w:sz w:val="20"/>
          <w:szCs w:val="20"/>
        </w:rPr>
        <w:t>Dolayısıyla, 1.5.2014 tarihinden sonra yapılan konut teslimlerinde konutun net alanının tespitinde Planlı Alanlar Tip İmar Yönetmeliği hükümlerinin dikkate alınması gerekmektedir.</w:t>
      </w:r>
    </w:p>
    <w:p w:rsidR="006B6278" w:rsidRDefault="006B6278" w:rsidP="003D4CFB">
      <w:pPr>
        <w:shd w:val="clear" w:color="auto" w:fill="FFFFFF"/>
        <w:spacing w:after="120"/>
        <w:ind w:left="425"/>
        <w:jc w:val="both"/>
        <w:rPr>
          <w:rFonts w:ascii="Tahoma" w:eastAsia="Times New Roman" w:hAnsi="Tahoma" w:cs="Tahoma"/>
          <w:b/>
          <w:sz w:val="20"/>
          <w:szCs w:val="20"/>
        </w:rPr>
      </w:pPr>
    </w:p>
    <w:p w:rsidR="003D4CFB" w:rsidRPr="000E2161" w:rsidRDefault="003D4CFB" w:rsidP="003D4CFB">
      <w:pPr>
        <w:shd w:val="clear" w:color="auto" w:fill="FFFFFF"/>
        <w:spacing w:after="120"/>
        <w:ind w:left="425"/>
        <w:jc w:val="both"/>
        <w:rPr>
          <w:rFonts w:ascii="Tahoma" w:hAnsi="Tahoma" w:cs="Tahoma"/>
          <w:b/>
          <w:sz w:val="20"/>
          <w:szCs w:val="20"/>
        </w:rPr>
      </w:pPr>
      <w:r w:rsidRPr="000E2161">
        <w:rPr>
          <w:rFonts w:ascii="Tahoma" w:hAnsi="Tahoma" w:cs="Tahoma"/>
          <w:b/>
          <w:bCs/>
          <w:sz w:val="20"/>
          <w:szCs w:val="20"/>
        </w:rPr>
        <w:lastRenderedPageBreak/>
        <w:t>B) KDV GENEL UYGULAMA TEBL</w:t>
      </w:r>
      <w:r w:rsidRPr="000E2161">
        <w:rPr>
          <w:rFonts w:ascii="Tahoma" w:eastAsia="Times New Roman" w:hAnsi="Tahoma" w:cs="Tahoma"/>
          <w:b/>
          <w:bCs/>
          <w:sz w:val="20"/>
          <w:szCs w:val="20"/>
        </w:rPr>
        <w:t>İĞİNİN (III/B-3.1.3.1) BÖLÜMÜNDEKİ “ÖRNEK 2”</w:t>
      </w:r>
    </w:p>
    <w:p w:rsidR="003D4CFB" w:rsidRPr="000E2161" w:rsidRDefault="003D4CFB" w:rsidP="003D4CFB">
      <w:pPr>
        <w:shd w:val="clear" w:color="auto" w:fill="FFFFFF"/>
        <w:spacing w:after="120"/>
        <w:ind w:left="425"/>
        <w:jc w:val="both"/>
        <w:rPr>
          <w:rFonts w:ascii="Tahoma" w:hAnsi="Tahoma" w:cs="Tahoma"/>
          <w:sz w:val="20"/>
          <w:szCs w:val="20"/>
        </w:rPr>
      </w:pPr>
      <w:proofErr w:type="gramStart"/>
      <w:r w:rsidRPr="000E2161">
        <w:rPr>
          <w:rFonts w:ascii="Tahoma" w:hAnsi="Tahoma" w:cs="Tahoma"/>
          <w:sz w:val="20"/>
          <w:szCs w:val="20"/>
        </w:rPr>
        <w:t>3065 say</w:t>
      </w:r>
      <w:r w:rsidRPr="000E2161">
        <w:rPr>
          <w:rFonts w:ascii="Tahoma" w:eastAsia="Times New Roman" w:hAnsi="Tahoma" w:cs="Tahoma"/>
          <w:sz w:val="20"/>
          <w:szCs w:val="20"/>
        </w:rPr>
        <w:t>ılı KDV Kanununun 29/2. maddesinde; indirimli orana tabi teslim ve hizmetler nedeniyle yüklenilen ve işlemin gerçekleştiği vergilendirme döneminde indirim yoluyla telafi edilemeyen vergilerden tutarı ilgili yıl için Bakanlar Kurulunca belirlenen sınırı aşan kısmının yılı içerisinde mahsuben, izleyen yıl içerisinde talep edilmesi kaydıyla nakden veya mahsuben iade edileceği hükme bağlanmıştır</w:t>
      </w:r>
      <w:r w:rsidRPr="000E2161">
        <w:rPr>
          <w:rFonts w:ascii="Tahoma" w:eastAsia="Times New Roman" w:hAnsi="Tahoma" w:cs="Tahoma"/>
          <w:bCs/>
          <w:sz w:val="20"/>
          <w:szCs w:val="20"/>
        </w:rPr>
        <w:t>.</w:t>
      </w:r>
      <w:proofErr w:type="gramEnd"/>
    </w:p>
    <w:p w:rsidR="003D4CFB" w:rsidRPr="000E2161" w:rsidRDefault="003D4CFB" w:rsidP="003D4CFB">
      <w:pPr>
        <w:shd w:val="clear" w:color="auto" w:fill="FFFFFF"/>
        <w:spacing w:after="120"/>
        <w:ind w:left="425"/>
        <w:jc w:val="both"/>
        <w:rPr>
          <w:rFonts w:ascii="Tahoma" w:hAnsi="Tahoma" w:cs="Tahoma"/>
          <w:sz w:val="20"/>
          <w:szCs w:val="20"/>
        </w:rPr>
      </w:pPr>
      <w:r w:rsidRPr="000E2161">
        <w:rPr>
          <w:rFonts w:ascii="Tahoma" w:hAnsi="Tahoma" w:cs="Tahoma"/>
          <w:sz w:val="20"/>
          <w:szCs w:val="20"/>
        </w:rPr>
        <w:t>KDV Genel Uygulama Tebli</w:t>
      </w:r>
      <w:r w:rsidRPr="000E2161">
        <w:rPr>
          <w:rFonts w:ascii="Tahoma" w:eastAsia="Times New Roman" w:hAnsi="Tahoma" w:cs="Tahoma"/>
          <w:sz w:val="20"/>
          <w:szCs w:val="20"/>
        </w:rPr>
        <w:t>ğinin;</w:t>
      </w:r>
    </w:p>
    <w:p w:rsidR="003D4CFB" w:rsidRPr="000E2161" w:rsidRDefault="003D4CFB" w:rsidP="003D4CFB">
      <w:pPr>
        <w:shd w:val="clear" w:color="auto" w:fill="FFFFFF"/>
        <w:spacing w:after="120"/>
        <w:ind w:left="425"/>
        <w:jc w:val="both"/>
        <w:rPr>
          <w:rFonts w:ascii="Tahoma" w:hAnsi="Tahoma" w:cs="Tahoma"/>
          <w:sz w:val="20"/>
          <w:szCs w:val="20"/>
        </w:rPr>
      </w:pPr>
      <w:r w:rsidRPr="000E2161">
        <w:rPr>
          <w:rFonts w:ascii="Tahoma" w:hAnsi="Tahoma" w:cs="Tahoma"/>
          <w:sz w:val="20"/>
          <w:szCs w:val="20"/>
        </w:rPr>
        <w:t>- (III/B-3) bölümünde, indirimli orana tabi işlemlere ilişkin yüklenilen ve indirim yoluyla telafi edilemeyen KDV’nin iadesine ilişkin usul ve esaslara,</w:t>
      </w:r>
    </w:p>
    <w:p w:rsidR="003D4CFB" w:rsidRPr="000E2161" w:rsidRDefault="003D4CFB" w:rsidP="003D4CFB">
      <w:pPr>
        <w:shd w:val="clear" w:color="auto" w:fill="FFFFFF"/>
        <w:spacing w:after="120"/>
        <w:ind w:left="425"/>
        <w:jc w:val="both"/>
        <w:rPr>
          <w:rFonts w:ascii="Tahoma" w:hAnsi="Tahoma" w:cs="Tahoma"/>
          <w:sz w:val="20"/>
          <w:szCs w:val="20"/>
        </w:rPr>
      </w:pPr>
      <w:r w:rsidRPr="000E2161">
        <w:rPr>
          <w:rFonts w:ascii="Tahoma" w:hAnsi="Tahoma" w:cs="Tahoma"/>
          <w:sz w:val="20"/>
          <w:szCs w:val="20"/>
        </w:rPr>
        <w:t>- (III/B-3.1.3.1) bölümünde, indirimli orana tabi işlemlerden doğan iade tutarının hesaplanmasına ilişkin açıklamalara,</w:t>
      </w:r>
    </w:p>
    <w:p w:rsidR="003D4CFB" w:rsidRPr="000E2161" w:rsidRDefault="003D4CFB" w:rsidP="003D4CFB">
      <w:pPr>
        <w:shd w:val="clear" w:color="auto" w:fill="FFFFFF"/>
        <w:spacing w:after="120"/>
        <w:ind w:left="425"/>
        <w:jc w:val="both"/>
        <w:rPr>
          <w:rFonts w:ascii="Tahoma" w:hAnsi="Tahoma" w:cs="Tahoma"/>
          <w:sz w:val="20"/>
          <w:szCs w:val="20"/>
        </w:rPr>
      </w:pPr>
      <w:proofErr w:type="gramStart"/>
      <w:r w:rsidRPr="000E2161">
        <w:rPr>
          <w:rFonts w:ascii="Tahoma" w:hAnsi="Tahoma" w:cs="Tahoma"/>
          <w:sz w:val="20"/>
          <w:szCs w:val="20"/>
        </w:rPr>
        <w:t>yer</w:t>
      </w:r>
      <w:proofErr w:type="gramEnd"/>
      <w:r w:rsidRPr="000E2161">
        <w:rPr>
          <w:rFonts w:ascii="Tahoma" w:hAnsi="Tahoma" w:cs="Tahoma"/>
          <w:sz w:val="20"/>
          <w:szCs w:val="20"/>
        </w:rPr>
        <w:t xml:space="preserve"> verilmi</w:t>
      </w:r>
      <w:r w:rsidRPr="000E2161">
        <w:rPr>
          <w:rFonts w:ascii="Tahoma" w:eastAsia="Times New Roman" w:hAnsi="Tahoma" w:cs="Tahoma"/>
          <w:sz w:val="20"/>
          <w:szCs w:val="20"/>
        </w:rPr>
        <w:t>ştir.</w:t>
      </w:r>
    </w:p>
    <w:p w:rsidR="003D4CFB" w:rsidRPr="000E2161" w:rsidRDefault="003D4CFB" w:rsidP="003D4CFB">
      <w:pPr>
        <w:shd w:val="clear" w:color="auto" w:fill="FFFFFF"/>
        <w:spacing w:after="120"/>
        <w:ind w:left="425"/>
        <w:jc w:val="both"/>
        <w:rPr>
          <w:rFonts w:ascii="Tahoma" w:hAnsi="Tahoma" w:cs="Tahoma"/>
          <w:sz w:val="20"/>
          <w:szCs w:val="20"/>
        </w:rPr>
      </w:pPr>
      <w:r w:rsidRPr="000E2161">
        <w:rPr>
          <w:rFonts w:ascii="Tahoma" w:hAnsi="Tahoma" w:cs="Tahoma"/>
          <w:sz w:val="20"/>
          <w:szCs w:val="20"/>
        </w:rPr>
        <w:t>Tebli</w:t>
      </w:r>
      <w:r w:rsidRPr="000E2161">
        <w:rPr>
          <w:rFonts w:ascii="Tahoma" w:eastAsia="Times New Roman" w:hAnsi="Tahoma" w:cs="Tahoma"/>
          <w:sz w:val="20"/>
          <w:szCs w:val="20"/>
        </w:rPr>
        <w:t>ğin (III/B-3.1.3.1) bölümünde yer alan “</w:t>
      </w:r>
      <w:r w:rsidRPr="000E2161">
        <w:rPr>
          <w:rFonts w:ascii="Tahoma" w:eastAsia="Times New Roman" w:hAnsi="Tahoma" w:cs="Tahoma"/>
          <w:iCs/>
          <w:sz w:val="20"/>
          <w:szCs w:val="20"/>
        </w:rPr>
        <w:t>Örnek 2</w:t>
      </w:r>
      <w:r w:rsidRPr="000E2161">
        <w:rPr>
          <w:rFonts w:ascii="Tahoma" w:eastAsia="Times New Roman" w:hAnsi="Tahoma" w:cs="Tahoma"/>
          <w:sz w:val="20"/>
          <w:szCs w:val="20"/>
        </w:rPr>
        <w:t>” ile KDV iade tutarının hesaplanması örnek yoluyla açıklanmıştır.</w:t>
      </w:r>
    </w:p>
    <w:p w:rsidR="003D4CFB" w:rsidRPr="000E2161" w:rsidRDefault="003D4CFB" w:rsidP="003D4CFB">
      <w:pPr>
        <w:shd w:val="clear" w:color="auto" w:fill="FFFFFF"/>
        <w:spacing w:after="120"/>
        <w:ind w:left="425"/>
        <w:jc w:val="both"/>
        <w:rPr>
          <w:rFonts w:ascii="Tahoma" w:hAnsi="Tahoma" w:cs="Tahoma"/>
          <w:sz w:val="20"/>
          <w:szCs w:val="20"/>
        </w:rPr>
      </w:pPr>
      <w:proofErr w:type="gramStart"/>
      <w:r w:rsidRPr="000E2161">
        <w:rPr>
          <w:rFonts w:ascii="Tahoma" w:hAnsi="Tahoma" w:cs="Tahoma"/>
          <w:sz w:val="20"/>
          <w:szCs w:val="20"/>
        </w:rPr>
        <w:t>KDV Genel Uygulama Tebli</w:t>
      </w:r>
      <w:r w:rsidRPr="000E2161">
        <w:rPr>
          <w:rFonts w:ascii="Tahoma" w:eastAsia="Times New Roman" w:hAnsi="Tahoma" w:cs="Tahoma"/>
          <w:sz w:val="20"/>
          <w:szCs w:val="20"/>
        </w:rPr>
        <w:t>ğinin (III/B-2.1.3) bölümü ile (III/B-3.1.3.1) bölümünde yer alan “</w:t>
      </w:r>
      <w:r w:rsidRPr="000E2161">
        <w:rPr>
          <w:rFonts w:ascii="Tahoma" w:eastAsia="Times New Roman" w:hAnsi="Tahoma" w:cs="Tahoma"/>
          <w:iCs/>
          <w:sz w:val="20"/>
          <w:szCs w:val="20"/>
        </w:rPr>
        <w:t>Örnek 2</w:t>
      </w:r>
      <w:r w:rsidRPr="000E2161">
        <w:rPr>
          <w:rFonts w:ascii="Tahoma" w:eastAsia="Times New Roman" w:hAnsi="Tahoma" w:cs="Tahoma"/>
          <w:sz w:val="20"/>
          <w:szCs w:val="20"/>
        </w:rPr>
        <w:t>”nin iptali ve yürütmesinin durdurulması istemiyle açılan davada, Danıştay Dördüncü Dairesinin 10.12.2014 tarihli ve Esas No: 2014/4835 sayılı Kararı ile KDV Genel Uygulama Tebliğinin (III/B-3.1.3.1) bölümünde yer alan “</w:t>
      </w:r>
      <w:r w:rsidRPr="000E2161">
        <w:rPr>
          <w:rFonts w:ascii="Tahoma" w:eastAsia="Times New Roman" w:hAnsi="Tahoma" w:cs="Tahoma"/>
          <w:iCs/>
          <w:sz w:val="20"/>
          <w:szCs w:val="20"/>
        </w:rPr>
        <w:t>Örnek 2</w:t>
      </w:r>
      <w:r w:rsidRPr="000E2161">
        <w:rPr>
          <w:rFonts w:ascii="Tahoma" w:eastAsia="Times New Roman" w:hAnsi="Tahoma" w:cs="Tahoma"/>
          <w:sz w:val="20"/>
          <w:szCs w:val="20"/>
        </w:rPr>
        <w:t>”nin yürütmesinin durdurulmasına karar verilmiştir.</w:t>
      </w:r>
      <w:proofErr w:type="gramEnd"/>
    </w:p>
    <w:p w:rsidR="003D4CFB" w:rsidRPr="000E2161" w:rsidRDefault="003D4CFB" w:rsidP="003D4CFB">
      <w:pPr>
        <w:shd w:val="clear" w:color="auto" w:fill="FFFFFF"/>
        <w:spacing w:after="120"/>
        <w:ind w:left="425"/>
        <w:jc w:val="both"/>
        <w:rPr>
          <w:rFonts w:ascii="Tahoma" w:hAnsi="Tahoma" w:cs="Tahoma"/>
          <w:sz w:val="20"/>
          <w:szCs w:val="20"/>
        </w:rPr>
      </w:pPr>
      <w:r w:rsidRPr="000E2161">
        <w:rPr>
          <w:rFonts w:ascii="Tahoma" w:hAnsi="Tahoma" w:cs="Tahoma"/>
          <w:sz w:val="20"/>
          <w:szCs w:val="20"/>
        </w:rPr>
        <w:t>Y</w:t>
      </w:r>
      <w:r w:rsidRPr="000E2161">
        <w:rPr>
          <w:rFonts w:ascii="Tahoma" w:eastAsia="Times New Roman" w:hAnsi="Tahoma" w:cs="Tahoma"/>
          <w:sz w:val="20"/>
          <w:szCs w:val="20"/>
        </w:rPr>
        <w:t xml:space="preserve">ürütmenin durdurulması kararına Bakanlığımız tarafından itiraz edilmesi üzerine Danıştay Vergi Dava Daireleri Genel Kurulunun 25.03.2015 tarihli ve YD İtiraz No: 2015/5 sayılı Kararı </w:t>
      </w:r>
      <w:proofErr w:type="gramStart"/>
      <w:r w:rsidRPr="000E2161">
        <w:rPr>
          <w:rFonts w:ascii="Tahoma" w:eastAsia="Times New Roman" w:hAnsi="Tahoma" w:cs="Tahoma"/>
          <w:sz w:val="20"/>
          <w:szCs w:val="20"/>
        </w:rPr>
        <w:t>ile,</w:t>
      </w:r>
      <w:proofErr w:type="gramEnd"/>
      <w:r w:rsidRPr="000E2161">
        <w:rPr>
          <w:rFonts w:ascii="Tahoma" w:eastAsia="Times New Roman" w:hAnsi="Tahoma" w:cs="Tahoma"/>
          <w:sz w:val="20"/>
          <w:szCs w:val="20"/>
        </w:rPr>
        <w:t xml:space="preserve"> “Örnek 2” ile ilgili hüküm fıkrasına karşı yapılan itirazımızın kabulü ile yürütmenin durdurulması kararının kaldırılmasına karar verildiğinden, “Örnek 2”nin uygulanmasına devam edilecektir.</w:t>
      </w:r>
    </w:p>
    <w:p w:rsidR="003D4CFB" w:rsidRPr="000E2161" w:rsidRDefault="003D4CFB" w:rsidP="003D4CFB">
      <w:pPr>
        <w:shd w:val="clear" w:color="auto" w:fill="FFFFFF"/>
        <w:spacing w:after="120"/>
        <w:ind w:left="425"/>
        <w:jc w:val="both"/>
        <w:rPr>
          <w:rFonts w:ascii="Tahoma" w:hAnsi="Tahoma" w:cs="Tahoma"/>
          <w:sz w:val="20"/>
          <w:szCs w:val="20"/>
        </w:rPr>
      </w:pPr>
      <w:r w:rsidRPr="000E2161">
        <w:rPr>
          <w:rFonts w:ascii="Tahoma" w:hAnsi="Tahoma" w:cs="Tahoma"/>
          <w:sz w:val="20"/>
          <w:szCs w:val="20"/>
        </w:rPr>
        <w:t>Bilgi edinilmesini ve gere</w:t>
      </w:r>
      <w:r w:rsidRPr="000E2161">
        <w:rPr>
          <w:rFonts w:ascii="Tahoma" w:eastAsia="Times New Roman" w:hAnsi="Tahoma" w:cs="Tahoma"/>
          <w:sz w:val="20"/>
          <w:szCs w:val="20"/>
        </w:rPr>
        <w:t>ğini rica ederim."</w:t>
      </w:r>
    </w:p>
    <w:p w:rsidR="003D4CFB" w:rsidRPr="000E2161" w:rsidRDefault="003D4CFB" w:rsidP="003D4CFB">
      <w:pPr>
        <w:shd w:val="clear" w:color="auto" w:fill="FFFFFF"/>
        <w:spacing w:before="120"/>
        <w:jc w:val="both"/>
        <w:rPr>
          <w:rFonts w:ascii="Tahoma" w:eastAsia="Times New Roman" w:hAnsi="Tahoma" w:cs="Tahoma"/>
          <w:sz w:val="20"/>
          <w:szCs w:val="20"/>
        </w:rPr>
      </w:pPr>
      <w:r w:rsidRPr="000E2161">
        <w:rPr>
          <w:rFonts w:ascii="Tahoma" w:hAnsi="Tahoma" w:cs="Tahoma"/>
          <w:sz w:val="20"/>
          <w:szCs w:val="20"/>
        </w:rPr>
        <w:t>Buna göre, 0</w:t>
      </w:r>
      <w:r w:rsidRPr="000E2161">
        <w:rPr>
          <w:rFonts w:ascii="Tahoma" w:eastAsia="Times New Roman" w:hAnsi="Tahoma" w:cs="Tahoma"/>
          <w:sz w:val="20"/>
          <w:szCs w:val="20"/>
        </w:rPr>
        <w:t xml:space="preserve">1.05.2014 tarihinden sonra yapılan konut teslimlerinde konutun net alanının tespitinde, </w:t>
      </w:r>
      <w:r w:rsidRPr="000E2161">
        <w:rPr>
          <w:rFonts w:ascii="Tahoma" w:hAnsi="Tahoma" w:cs="Tahoma"/>
          <w:color w:val="000000"/>
          <w:sz w:val="20"/>
          <w:szCs w:val="20"/>
          <w:bdr w:val="none" w:sz="0" w:space="0" w:color="auto" w:frame="1"/>
        </w:rPr>
        <w:t xml:space="preserve">Çevre ve Şehircilik Bakanlığı’nın </w:t>
      </w:r>
      <w:r w:rsidRPr="000E2161">
        <w:rPr>
          <w:rFonts w:ascii="Tahoma" w:eastAsia="Times New Roman" w:hAnsi="Tahoma" w:cs="Tahoma"/>
          <w:sz w:val="20"/>
          <w:szCs w:val="20"/>
        </w:rPr>
        <w:t>Planlı Alanlar Tip İmar Yönetmeliğinin 16/41. maddesi hükmünün dikkate alınması gerekmektedir. Planlı Alanlar Tip İmar Yönetmeliğinde yer alan Net Alan hükmü aşağıdaki gibidir;</w:t>
      </w:r>
    </w:p>
    <w:p w:rsidR="003D4CFB" w:rsidRPr="000E2161" w:rsidRDefault="003D4CFB" w:rsidP="003D4CFB">
      <w:pPr>
        <w:pStyle w:val="NormalWeb"/>
        <w:shd w:val="clear" w:color="auto" w:fill="FFFFFF"/>
        <w:spacing w:before="0" w:beforeAutospacing="0" w:after="0" w:afterAutospacing="0" w:line="360" w:lineRule="auto"/>
        <w:ind w:left="425"/>
        <w:jc w:val="both"/>
        <w:textAlignment w:val="baseline"/>
        <w:rPr>
          <w:rFonts w:ascii="Tahoma" w:hAnsi="Tahoma" w:cs="Tahoma"/>
          <w:color w:val="222222"/>
          <w:sz w:val="20"/>
          <w:szCs w:val="20"/>
        </w:rPr>
      </w:pPr>
      <w:r w:rsidRPr="00D454FF">
        <w:rPr>
          <w:rStyle w:val="Gl"/>
          <w:rFonts w:ascii="Tahoma" w:hAnsi="Tahoma" w:cs="Tahoma"/>
          <w:color w:val="000000"/>
          <w:spacing w:val="-2"/>
          <w:sz w:val="20"/>
          <w:szCs w:val="20"/>
          <w:bdr w:val="none" w:sz="0" w:space="0" w:color="auto" w:frame="1"/>
        </w:rPr>
        <w:t>“41. (Ek:RG-01.06.2013-28664) Bağımsız Bölüm Net Alanı:</w:t>
      </w:r>
      <w:r w:rsidRPr="000E2161">
        <w:rPr>
          <w:rStyle w:val="Gl"/>
          <w:rFonts w:ascii="Tahoma" w:hAnsi="Tahoma" w:cs="Tahoma"/>
          <w:b w:val="0"/>
          <w:color w:val="000000"/>
          <w:spacing w:val="-2"/>
          <w:sz w:val="20"/>
          <w:szCs w:val="20"/>
          <w:bdr w:val="none" w:sz="0" w:space="0" w:color="auto" w:frame="1"/>
        </w:rPr>
        <w:t xml:space="preserve"> Bağımsız bölüm içerisindeki kapalı olup duvarlar arasında kalan net alandır. Bu alana; </w:t>
      </w:r>
      <w:r w:rsidRPr="003D4CFB">
        <w:rPr>
          <w:rStyle w:val="Gl"/>
          <w:rFonts w:ascii="Tahoma" w:hAnsi="Tahoma" w:cs="Tahoma"/>
          <w:b w:val="0"/>
          <w:color w:val="000000"/>
          <w:spacing w:val="-2"/>
          <w:sz w:val="20"/>
          <w:szCs w:val="20"/>
          <w:u w:val="single"/>
          <w:bdr w:val="none" w:sz="0" w:space="0" w:color="auto" w:frame="1"/>
        </w:rPr>
        <w:t xml:space="preserve">kapı ve pencere eşikleri, 2.5 </w:t>
      </w:r>
      <w:proofErr w:type="spellStart"/>
      <w:r w:rsidRPr="003D4CFB">
        <w:rPr>
          <w:rStyle w:val="Gl"/>
          <w:rFonts w:ascii="Tahoma" w:hAnsi="Tahoma" w:cs="Tahoma"/>
          <w:b w:val="0"/>
          <w:color w:val="000000"/>
          <w:spacing w:val="-2"/>
          <w:sz w:val="20"/>
          <w:szCs w:val="20"/>
          <w:u w:val="single"/>
          <w:bdr w:val="none" w:sz="0" w:space="0" w:color="auto" w:frame="1"/>
        </w:rPr>
        <w:t>cm’i</w:t>
      </w:r>
      <w:proofErr w:type="spellEnd"/>
      <w:r w:rsidRPr="003D4CFB">
        <w:rPr>
          <w:rStyle w:val="Gl"/>
          <w:rFonts w:ascii="Tahoma" w:hAnsi="Tahoma" w:cs="Tahoma"/>
          <w:b w:val="0"/>
          <w:color w:val="000000"/>
          <w:spacing w:val="-2"/>
          <w:sz w:val="20"/>
          <w:szCs w:val="20"/>
          <w:u w:val="single"/>
          <w:bdr w:val="none" w:sz="0" w:space="0" w:color="auto" w:frame="1"/>
        </w:rPr>
        <w:t xml:space="preserve"> geçmemek koşuluyla sıva payları, kolonlar, duman, çöp, atık, tesisat ve hava bacaları ile ışıklıklar, bağımsız bölüm içindeki asansör ve galeri boşlukları, tesisat odası, merdivenlerin altlarında 1.80 m. yüksekliğinden az olan yerler, tek bağımsız bölümlü müstakil binalarda bağımsız bölüm içindeki otopark, sığınak, odunluk, kömürlük, hidrofor ve arıtma tesisi alanı, su ve yakıt deposu ve kazan dairesi </w:t>
      </w:r>
      <w:proofErr w:type="gramStart"/>
      <w:r w:rsidRPr="003D4CFB">
        <w:rPr>
          <w:rStyle w:val="Gl"/>
          <w:rFonts w:ascii="Tahoma" w:hAnsi="Tahoma" w:cs="Tahoma"/>
          <w:b w:val="0"/>
          <w:color w:val="000000"/>
          <w:spacing w:val="-2"/>
          <w:sz w:val="20"/>
          <w:szCs w:val="20"/>
          <w:u w:val="single"/>
          <w:bdr w:val="none" w:sz="0" w:space="0" w:color="auto" w:frame="1"/>
        </w:rPr>
        <w:t>dahil</w:t>
      </w:r>
      <w:proofErr w:type="gramEnd"/>
      <w:r w:rsidRPr="003D4CFB">
        <w:rPr>
          <w:rStyle w:val="Gl"/>
          <w:rFonts w:ascii="Tahoma" w:hAnsi="Tahoma" w:cs="Tahoma"/>
          <w:b w:val="0"/>
          <w:color w:val="000000"/>
          <w:spacing w:val="-2"/>
          <w:sz w:val="20"/>
          <w:szCs w:val="20"/>
          <w:u w:val="single"/>
          <w:bdr w:val="none" w:sz="0" w:space="0" w:color="auto" w:frame="1"/>
        </w:rPr>
        <w:t xml:space="preserve"> edilmez.</w:t>
      </w:r>
      <w:r w:rsidRPr="000E2161">
        <w:rPr>
          <w:rStyle w:val="Gl"/>
          <w:rFonts w:ascii="Tahoma" w:hAnsi="Tahoma" w:cs="Tahoma"/>
          <w:b w:val="0"/>
          <w:color w:val="000000"/>
          <w:spacing w:val="-2"/>
          <w:sz w:val="20"/>
          <w:szCs w:val="20"/>
          <w:bdr w:val="none" w:sz="0" w:space="0" w:color="auto" w:frame="1"/>
        </w:rPr>
        <w:t xml:space="preserve"> </w:t>
      </w:r>
      <w:r w:rsidRPr="003D4CFB">
        <w:rPr>
          <w:rStyle w:val="Gl"/>
          <w:rFonts w:ascii="Tahoma" w:hAnsi="Tahoma" w:cs="Tahoma"/>
          <w:b w:val="0"/>
          <w:color w:val="000000"/>
          <w:spacing w:val="-2"/>
          <w:sz w:val="20"/>
          <w:szCs w:val="20"/>
          <w:u w:val="single"/>
          <w:bdr w:val="none" w:sz="0" w:space="0" w:color="auto" w:frame="1"/>
        </w:rPr>
        <w:t xml:space="preserve">Açık çıkmalar, </w:t>
      </w:r>
      <w:r w:rsidRPr="003D4CFB">
        <w:rPr>
          <w:rStyle w:val="Gl"/>
          <w:rFonts w:ascii="Tahoma" w:hAnsi="Tahoma" w:cs="Tahoma"/>
          <w:color w:val="000000"/>
          <w:spacing w:val="-2"/>
          <w:sz w:val="20"/>
          <w:szCs w:val="20"/>
          <w:u w:val="single"/>
          <w:bdr w:val="none" w:sz="0" w:space="0" w:color="auto" w:frame="1"/>
        </w:rPr>
        <w:t>balkonlar</w:t>
      </w:r>
      <w:r w:rsidRPr="003D4CFB">
        <w:rPr>
          <w:rStyle w:val="Gl"/>
          <w:rFonts w:ascii="Tahoma" w:hAnsi="Tahoma" w:cs="Tahoma"/>
          <w:b w:val="0"/>
          <w:color w:val="000000"/>
          <w:spacing w:val="-2"/>
          <w:sz w:val="20"/>
          <w:szCs w:val="20"/>
          <w:u w:val="single"/>
          <w:bdr w:val="none" w:sz="0" w:space="0" w:color="auto" w:frame="1"/>
        </w:rPr>
        <w:t xml:space="preserve">, </w:t>
      </w:r>
      <w:r w:rsidRPr="003D4CFB">
        <w:rPr>
          <w:rStyle w:val="Gl"/>
          <w:rFonts w:ascii="Tahoma" w:hAnsi="Tahoma" w:cs="Tahoma"/>
          <w:color w:val="000000"/>
          <w:spacing w:val="-2"/>
          <w:sz w:val="20"/>
          <w:szCs w:val="20"/>
          <w:u w:val="single"/>
          <w:bdr w:val="none" w:sz="0" w:space="0" w:color="auto" w:frame="1"/>
        </w:rPr>
        <w:t>zemin, çatı ve kat terasları</w:t>
      </w:r>
      <w:r w:rsidRPr="003D4CFB">
        <w:rPr>
          <w:rStyle w:val="Gl"/>
          <w:rFonts w:ascii="Tahoma" w:hAnsi="Tahoma" w:cs="Tahoma"/>
          <w:b w:val="0"/>
          <w:color w:val="000000"/>
          <w:spacing w:val="-2"/>
          <w:sz w:val="20"/>
          <w:szCs w:val="20"/>
          <w:u w:val="single"/>
          <w:bdr w:val="none" w:sz="0" w:space="0" w:color="auto" w:frame="1"/>
        </w:rPr>
        <w:t xml:space="preserve">, kat ve çatı bahçeleri gibi </w:t>
      </w:r>
      <w:r w:rsidRPr="003D4CFB">
        <w:rPr>
          <w:rStyle w:val="Gl"/>
          <w:rFonts w:ascii="Tahoma" w:hAnsi="Tahoma" w:cs="Tahoma"/>
          <w:color w:val="000000"/>
          <w:spacing w:val="-2"/>
          <w:sz w:val="20"/>
          <w:szCs w:val="20"/>
          <w:u w:val="single"/>
          <w:bdr w:val="none" w:sz="0" w:space="0" w:color="auto" w:frame="1"/>
        </w:rPr>
        <w:t xml:space="preserve">en az bir cephesi açık olan </w:t>
      </w:r>
      <w:proofErr w:type="gramStart"/>
      <w:r w:rsidRPr="003D4CFB">
        <w:rPr>
          <w:rStyle w:val="Gl"/>
          <w:rFonts w:ascii="Tahoma" w:hAnsi="Tahoma" w:cs="Tahoma"/>
          <w:color w:val="000000"/>
          <w:spacing w:val="-2"/>
          <w:sz w:val="20"/>
          <w:szCs w:val="20"/>
          <w:u w:val="single"/>
          <w:bdr w:val="none" w:sz="0" w:space="0" w:color="auto" w:frame="1"/>
        </w:rPr>
        <w:t>mekanlar</w:t>
      </w:r>
      <w:proofErr w:type="gramEnd"/>
      <w:r w:rsidRPr="000E2161">
        <w:rPr>
          <w:rStyle w:val="Gl"/>
          <w:rFonts w:ascii="Tahoma" w:hAnsi="Tahoma" w:cs="Tahoma"/>
          <w:b w:val="0"/>
          <w:color w:val="000000"/>
          <w:spacing w:val="-2"/>
          <w:sz w:val="20"/>
          <w:szCs w:val="20"/>
          <w:bdr w:val="none" w:sz="0" w:space="0" w:color="auto" w:frame="1"/>
        </w:rPr>
        <w:t xml:space="preserve"> ile aynı katta veya farklı katta olup bağımsız bölümün eklentisi olan mekanlar ile ortak alanlar </w:t>
      </w:r>
      <w:r w:rsidRPr="003D4CFB">
        <w:rPr>
          <w:rStyle w:val="Gl"/>
          <w:rFonts w:ascii="Tahoma" w:hAnsi="Tahoma" w:cs="Tahoma"/>
          <w:b w:val="0"/>
          <w:color w:val="000000"/>
          <w:spacing w:val="-2"/>
          <w:sz w:val="20"/>
          <w:szCs w:val="20"/>
          <w:u w:val="single"/>
          <w:bdr w:val="none" w:sz="0" w:space="0" w:color="auto" w:frame="1"/>
        </w:rPr>
        <w:t>bağımsız bölüm net alanı içinde değerlendirilmez.</w:t>
      </w:r>
      <w:r w:rsidRPr="000E2161">
        <w:rPr>
          <w:rStyle w:val="Gl"/>
          <w:rFonts w:ascii="Tahoma" w:hAnsi="Tahoma" w:cs="Tahoma"/>
          <w:b w:val="0"/>
          <w:color w:val="000000"/>
          <w:spacing w:val="-2"/>
          <w:sz w:val="20"/>
          <w:szCs w:val="20"/>
          <w:bdr w:val="none" w:sz="0" w:space="0" w:color="auto" w:frame="1"/>
        </w:rPr>
        <w:t xml:space="preserve"> Bağımsız bölümün içten bağlantılı olarak çatı araları </w:t>
      </w:r>
      <w:proofErr w:type="gramStart"/>
      <w:r w:rsidRPr="000E2161">
        <w:rPr>
          <w:rStyle w:val="Gl"/>
          <w:rFonts w:ascii="Tahoma" w:hAnsi="Tahoma" w:cs="Tahoma"/>
          <w:b w:val="0"/>
          <w:color w:val="000000"/>
          <w:spacing w:val="-2"/>
          <w:sz w:val="20"/>
          <w:szCs w:val="20"/>
          <w:bdr w:val="none" w:sz="0" w:space="0" w:color="auto" w:frame="1"/>
        </w:rPr>
        <w:t>dahil</w:t>
      </w:r>
      <w:proofErr w:type="gramEnd"/>
      <w:r w:rsidRPr="000E2161">
        <w:rPr>
          <w:rStyle w:val="Gl"/>
          <w:rFonts w:ascii="Tahoma" w:hAnsi="Tahoma" w:cs="Tahoma"/>
          <w:b w:val="0"/>
          <w:color w:val="000000"/>
          <w:spacing w:val="-2"/>
          <w:sz w:val="20"/>
          <w:szCs w:val="20"/>
          <w:bdr w:val="none" w:sz="0" w:space="0" w:color="auto" w:frame="1"/>
        </w:rPr>
        <w:t xml:space="preserve"> birden fazla katta yer alan mekanlardan oluşması halinde bu katlardaki bağımsız bölüme ait alanlar birlikte değerlendirilerek bağımsız bölüm net alanı bulunur.”</w:t>
      </w:r>
    </w:p>
    <w:p w:rsidR="0037453B" w:rsidRPr="000274C4" w:rsidRDefault="003D4CFB" w:rsidP="00626361">
      <w:pPr>
        <w:shd w:val="clear" w:color="auto" w:fill="FFFFFF"/>
        <w:spacing w:after="120" w:line="240" w:lineRule="auto"/>
        <w:jc w:val="both"/>
        <w:rPr>
          <w:rFonts w:ascii="Tahoma" w:eastAsia="Times New Roman" w:hAnsi="Tahoma" w:cs="Tahoma"/>
          <w:b/>
          <w:i/>
          <w:color w:val="1F497D" w:themeColor="text2"/>
          <w:sz w:val="20"/>
          <w:szCs w:val="20"/>
          <w:lang w:eastAsia="tr-TR"/>
        </w:rPr>
      </w:pPr>
      <w:r>
        <w:rPr>
          <w:rFonts w:ascii="Tahoma" w:eastAsia="Times New Roman" w:hAnsi="Tahoma" w:cs="Tahoma"/>
          <w:b/>
          <w:i/>
          <w:color w:val="1F497D" w:themeColor="text2"/>
          <w:sz w:val="20"/>
          <w:szCs w:val="20"/>
          <w:lang w:eastAsia="tr-TR"/>
        </w:rPr>
        <w:t>01</w:t>
      </w:r>
      <w:r w:rsidR="00126F2F" w:rsidRPr="000274C4">
        <w:rPr>
          <w:rFonts w:ascii="Tahoma" w:eastAsia="Times New Roman" w:hAnsi="Tahoma" w:cs="Tahoma"/>
          <w:b/>
          <w:i/>
          <w:color w:val="1F497D" w:themeColor="text2"/>
          <w:sz w:val="20"/>
          <w:szCs w:val="20"/>
          <w:lang w:eastAsia="tr-TR"/>
        </w:rPr>
        <w:t>.0</w:t>
      </w:r>
      <w:r>
        <w:rPr>
          <w:rFonts w:ascii="Tahoma" w:eastAsia="Times New Roman" w:hAnsi="Tahoma" w:cs="Tahoma"/>
          <w:b/>
          <w:i/>
          <w:color w:val="1F497D" w:themeColor="text2"/>
          <w:sz w:val="20"/>
          <w:szCs w:val="20"/>
          <w:lang w:eastAsia="tr-TR"/>
        </w:rPr>
        <w:t>3</w:t>
      </w:r>
      <w:r w:rsidR="00126F2F" w:rsidRPr="000274C4">
        <w:rPr>
          <w:rFonts w:ascii="Tahoma" w:eastAsia="Times New Roman" w:hAnsi="Tahoma" w:cs="Tahoma"/>
          <w:b/>
          <w:i/>
          <w:color w:val="1F497D" w:themeColor="text2"/>
          <w:sz w:val="20"/>
          <w:szCs w:val="20"/>
          <w:lang w:eastAsia="tr-TR"/>
        </w:rPr>
        <w:t>.2017</w:t>
      </w:r>
    </w:p>
    <w:p w:rsidR="00C77258" w:rsidRPr="000274C4" w:rsidRDefault="00C77258" w:rsidP="00626361">
      <w:pPr>
        <w:shd w:val="clear" w:color="auto" w:fill="FFFFFF"/>
        <w:spacing w:after="120" w:line="240" w:lineRule="auto"/>
        <w:jc w:val="both"/>
        <w:rPr>
          <w:rFonts w:ascii="Tahoma" w:eastAsia="Times New Roman" w:hAnsi="Tahoma" w:cs="Tahoma"/>
          <w:b/>
          <w:i/>
          <w:color w:val="1F497D" w:themeColor="text2"/>
          <w:sz w:val="20"/>
          <w:szCs w:val="20"/>
          <w:lang w:eastAsia="tr-TR"/>
        </w:rPr>
      </w:pPr>
      <w:r w:rsidRPr="000274C4">
        <w:rPr>
          <w:rFonts w:ascii="Tahoma" w:eastAsia="Times New Roman" w:hAnsi="Tahoma" w:cs="Tahoma"/>
          <w:b/>
          <w:i/>
          <w:color w:val="1F497D" w:themeColor="text2"/>
          <w:sz w:val="20"/>
          <w:szCs w:val="20"/>
          <w:lang w:eastAsia="tr-TR"/>
        </w:rPr>
        <w:t>Saygılarımızla…</w:t>
      </w:r>
    </w:p>
    <w:p w:rsidR="00E134FC" w:rsidRPr="000274C4" w:rsidRDefault="00C77258" w:rsidP="00626361">
      <w:pPr>
        <w:shd w:val="clear" w:color="auto" w:fill="FFFFFF"/>
        <w:spacing w:after="120" w:line="240" w:lineRule="auto"/>
        <w:jc w:val="both"/>
        <w:rPr>
          <w:rFonts w:ascii="Tahoma" w:eastAsia="Times New Roman" w:hAnsi="Tahoma" w:cs="Tahoma"/>
          <w:b/>
          <w:i/>
          <w:color w:val="1F497D" w:themeColor="text2"/>
          <w:sz w:val="20"/>
          <w:szCs w:val="20"/>
          <w:lang w:eastAsia="tr-TR"/>
        </w:rPr>
      </w:pPr>
      <w:r w:rsidRPr="000274C4">
        <w:rPr>
          <w:rFonts w:ascii="Tahoma" w:eastAsia="Times New Roman" w:hAnsi="Tahoma" w:cs="Tahoma"/>
          <w:b/>
          <w:i/>
          <w:color w:val="1F497D" w:themeColor="text2"/>
          <w:sz w:val="20"/>
          <w:szCs w:val="20"/>
          <w:lang w:eastAsia="tr-TR"/>
        </w:rPr>
        <w:t>ATABEYDENETİM</w:t>
      </w:r>
    </w:p>
    <w:sectPr w:rsidR="00E134FC" w:rsidRPr="000274C4" w:rsidSect="008769DA">
      <w:headerReference w:type="even" r:id="rId7"/>
      <w:headerReference w:type="default" r:id="rId8"/>
      <w:headerReference w:type="first" r:id="rId9"/>
      <w:pgSz w:w="11906" w:h="16838"/>
      <w:pgMar w:top="1417" w:right="70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DCE" w:rsidRDefault="003E3DCE" w:rsidP="002C5A30">
      <w:pPr>
        <w:spacing w:after="0" w:line="240" w:lineRule="auto"/>
      </w:pPr>
      <w:r>
        <w:separator/>
      </w:r>
    </w:p>
  </w:endnote>
  <w:endnote w:type="continuationSeparator" w:id="0">
    <w:p w:rsidR="003E3DCE" w:rsidRDefault="003E3DCE" w:rsidP="002C5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ndara">
    <w:panose1 w:val="020E0502030303020204"/>
    <w:charset w:val="A2"/>
    <w:family w:val="swiss"/>
    <w:pitch w:val="variable"/>
    <w:sig w:usb0="A00002EF" w:usb1="4000A44B"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DCE" w:rsidRDefault="003E3DCE" w:rsidP="002C5A30">
      <w:pPr>
        <w:spacing w:after="0" w:line="240" w:lineRule="auto"/>
      </w:pPr>
      <w:r>
        <w:separator/>
      </w:r>
    </w:p>
  </w:footnote>
  <w:footnote w:type="continuationSeparator" w:id="0">
    <w:p w:rsidR="003E3DCE" w:rsidRDefault="003E3DCE" w:rsidP="002C5A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A30" w:rsidRDefault="0023495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45422" o:spid="_x0000_s2050" type="#_x0000_t75" style="position:absolute;margin-left:0;margin-top:0;width:595.8pt;height:784.45pt;z-index:-251657216;mso-position-horizontal:center;mso-position-horizontal-relative:margin;mso-position-vertical:center;mso-position-vertical-relative:margin" o:allowincell="f">
          <v:imagedata r:id="rId1" o:title="ad antetli kağıt4"/>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A30" w:rsidRDefault="0023495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45423" o:spid="_x0000_s2051" type="#_x0000_t75" style="position:absolute;margin-left:0;margin-top:0;width:595.8pt;height:784.45pt;z-index:-251656192;mso-position-horizontal:center;mso-position-horizontal-relative:margin;mso-position-vertical:center;mso-position-vertical-relative:margin" o:allowincell="f">
          <v:imagedata r:id="rId1" o:title="ad antetli kağıt4"/>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A30" w:rsidRDefault="0023495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45421" o:spid="_x0000_s2049" type="#_x0000_t75" style="position:absolute;margin-left:0;margin-top:0;width:595.8pt;height:784.45pt;z-index:-251658240;mso-position-horizontal:center;mso-position-horizontal-relative:margin;mso-position-vertical:center;mso-position-vertical-relative:margin" o:allowincell="f">
          <v:imagedata r:id="rId1" o:title="ad antetli kağıt4"/>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49A2"/>
    <w:multiLevelType w:val="multilevel"/>
    <w:tmpl w:val="A38EFA8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nsid w:val="04EC09B1"/>
    <w:multiLevelType w:val="hybridMultilevel"/>
    <w:tmpl w:val="A63E47C2"/>
    <w:lvl w:ilvl="0" w:tplc="2A4E655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140934"/>
    <w:multiLevelType w:val="multilevel"/>
    <w:tmpl w:val="FF749EC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nsid w:val="3CD15150"/>
    <w:multiLevelType w:val="hybridMultilevel"/>
    <w:tmpl w:val="DE38AE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5E811A6"/>
    <w:multiLevelType w:val="hybridMultilevel"/>
    <w:tmpl w:val="5BF656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7D03EEE"/>
    <w:multiLevelType w:val="hybridMultilevel"/>
    <w:tmpl w:val="C92EA3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89950EB"/>
    <w:multiLevelType w:val="hybridMultilevel"/>
    <w:tmpl w:val="018809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22C27DF"/>
    <w:multiLevelType w:val="hybridMultilevel"/>
    <w:tmpl w:val="8F8468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856209B"/>
    <w:multiLevelType w:val="multilevel"/>
    <w:tmpl w:val="2E1AF730"/>
    <w:lvl w:ilvl="0">
      <w:start w:val="3"/>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5CB670E1"/>
    <w:multiLevelType w:val="hybridMultilevel"/>
    <w:tmpl w:val="98FA5E8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7BB08A2"/>
    <w:multiLevelType w:val="hybridMultilevel"/>
    <w:tmpl w:val="98C4FD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E5A1DD0"/>
    <w:multiLevelType w:val="multilevel"/>
    <w:tmpl w:val="4B22AAB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4"/>
  </w:num>
  <w:num w:numId="3">
    <w:abstractNumId w:val="3"/>
  </w:num>
  <w:num w:numId="4">
    <w:abstractNumId w:val="1"/>
  </w:num>
  <w:num w:numId="5">
    <w:abstractNumId w:val="10"/>
  </w:num>
  <w:num w:numId="6">
    <w:abstractNumId w:val="9"/>
  </w:num>
  <w:num w:numId="7">
    <w:abstractNumId w:val="6"/>
  </w:num>
  <w:num w:numId="8">
    <w:abstractNumId w:val="11"/>
  </w:num>
  <w:num w:numId="9">
    <w:abstractNumId w:val="0"/>
  </w:num>
  <w:num w:numId="10">
    <w:abstractNumId w:val="2"/>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8674"/>
    <o:shapelayout v:ext="edit">
      <o:idmap v:ext="edit" data="2"/>
    </o:shapelayout>
  </w:hdrShapeDefaults>
  <w:footnotePr>
    <w:footnote w:id="-1"/>
    <w:footnote w:id="0"/>
  </w:footnotePr>
  <w:endnotePr>
    <w:endnote w:id="-1"/>
    <w:endnote w:id="0"/>
  </w:endnotePr>
  <w:compat/>
  <w:rsids>
    <w:rsidRoot w:val="002C5A30"/>
    <w:rsid w:val="000274C4"/>
    <w:rsid w:val="0006246C"/>
    <w:rsid w:val="00064483"/>
    <w:rsid w:val="000761F2"/>
    <w:rsid w:val="00092964"/>
    <w:rsid w:val="000D6EF7"/>
    <w:rsid w:val="000E649E"/>
    <w:rsid w:val="00126F2F"/>
    <w:rsid w:val="00141C18"/>
    <w:rsid w:val="00182CC4"/>
    <w:rsid w:val="001C5C3C"/>
    <w:rsid w:val="001D300F"/>
    <w:rsid w:val="001F16C0"/>
    <w:rsid w:val="00230A6D"/>
    <w:rsid w:val="0023495B"/>
    <w:rsid w:val="002C5A30"/>
    <w:rsid w:val="002E4D04"/>
    <w:rsid w:val="003516C9"/>
    <w:rsid w:val="0037453B"/>
    <w:rsid w:val="003D4CFB"/>
    <w:rsid w:val="003E3DCE"/>
    <w:rsid w:val="00460022"/>
    <w:rsid w:val="0046134E"/>
    <w:rsid w:val="00466B9B"/>
    <w:rsid w:val="00473385"/>
    <w:rsid w:val="00556950"/>
    <w:rsid w:val="00595885"/>
    <w:rsid w:val="00626361"/>
    <w:rsid w:val="00633EA8"/>
    <w:rsid w:val="006B6278"/>
    <w:rsid w:val="006F5329"/>
    <w:rsid w:val="00741181"/>
    <w:rsid w:val="00746CA5"/>
    <w:rsid w:val="007B6423"/>
    <w:rsid w:val="007F1DC8"/>
    <w:rsid w:val="008014B8"/>
    <w:rsid w:val="0081368D"/>
    <w:rsid w:val="00835ED7"/>
    <w:rsid w:val="008769DA"/>
    <w:rsid w:val="008A27F0"/>
    <w:rsid w:val="008F2931"/>
    <w:rsid w:val="00937D1B"/>
    <w:rsid w:val="00944762"/>
    <w:rsid w:val="009608DD"/>
    <w:rsid w:val="009B3148"/>
    <w:rsid w:val="009D4E22"/>
    <w:rsid w:val="00AC079F"/>
    <w:rsid w:val="00B04A10"/>
    <w:rsid w:val="00B33E2A"/>
    <w:rsid w:val="00B46774"/>
    <w:rsid w:val="00B602E3"/>
    <w:rsid w:val="00B96B3B"/>
    <w:rsid w:val="00BA3DF9"/>
    <w:rsid w:val="00BA7364"/>
    <w:rsid w:val="00C65A3C"/>
    <w:rsid w:val="00C77258"/>
    <w:rsid w:val="00C852FF"/>
    <w:rsid w:val="00CF54B9"/>
    <w:rsid w:val="00D4619D"/>
    <w:rsid w:val="00D65CD7"/>
    <w:rsid w:val="00D767FE"/>
    <w:rsid w:val="00D838B4"/>
    <w:rsid w:val="00DC070C"/>
    <w:rsid w:val="00E134FC"/>
    <w:rsid w:val="00E24111"/>
    <w:rsid w:val="00E76A2B"/>
    <w:rsid w:val="00EA6310"/>
    <w:rsid w:val="00F061C5"/>
    <w:rsid w:val="00F64817"/>
    <w:rsid w:val="00FF362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C5A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5A30"/>
  </w:style>
  <w:style w:type="paragraph" w:styleId="Altbilgi">
    <w:name w:val="footer"/>
    <w:basedOn w:val="Normal"/>
    <w:link w:val="AltbilgiChar"/>
    <w:uiPriority w:val="99"/>
    <w:unhideWhenUsed/>
    <w:rsid w:val="002C5A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5A30"/>
  </w:style>
  <w:style w:type="character" w:customStyle="1" w:styleId="apple-converted-space">
    <w:name w:val="apple-converted-space"/>
    <w:basedOn w:val="VarsaylanParagrafYazTipi"/>
    <w:rsid w:val="003516C9"/>
  </w:style>
  <w:style w:type="paragraph" w:styleId="ListeParagraf">
    <w:name w:val="List Paragraph"/>
    <w:basedOn w:val="Normal"/>
    <w:uiPriority w:val="34"/>
    <w:qFormat/>
    <w:rsid w:val="003516C9"/>
    <w:pPr>
      <w:spacing w:after="0"/>
      <w:ind w:left="720"/>
      <w:contextualSpacing/>
      <w:jc w:val="both"/>
    </w:pPr>
  </w:style>
  <w:style w:type="character" w:styleId="Kpr">
    <w:name w:val="Hyperlink"/>
    <w:basedOn w:val="VarsaylanParagrafYazTipi"/>
    <w:uiPriority w:val="99"/>
    <w:semiHidden/>
    <w:unhideWhenUsed/>
    <w:rsid w:val="00B33E2A"/>
    <w:rPr>
      <w:color w:val="0000FF"/>
      <w:u w:val="single"/>
    </w:rPr>
  </w:style>
  <w:style w:type="paragraph" w:styleId="NormalWeb">
    <w:name w:val="Normal (Web)"/>
    <w:basedOn w:val="Normal"/>
    <w:uiPriority w:val="99"/>
    <w:unhideWhenUsed/>
    <w:rsid w:val="003745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E76A2B"/>
    <w:pPr>
      <w:autoSpaceDE w:val="0"/>
      <w:autoSpaceDN w:val="0"/>
      <w:adjustRightInd w:val="0"/>
      <w:spacing w:after="0" w:line="240" w:lineRule="auto"/>
    </w:pPr>
    <w:rPr>
      <w:rFonts w:ascii="Candara" w:hAnsi="Candara" w:cs="Candara"/>
      <w:color w:val="000000"/>
      <w:sz w:val="24"/>
      <w:szCs w:val="24"/>
    </w:rPr>
  </w:style>
  <w:style w:type="character" w:styleId="Gl">
    <w:name w:val="Strong"/>
    <w:basedOn w:val="VarsaylanParagrafYazTipi"/>
    <w:uiPriority w:val="22"/>
    <w:qFormat/>
    <w:rsid w:val="00D767FE"/>
    <w:rPr>
      <w:b/>
      <w:bCs/>
    </w:rPr>
  </w:style>
  <w:style w:type="paragraph" w:customStyle="1" w:styleId="bodytext">
    <w:name w:val="bodytext"/>
    <w:basedOn w:val="Normal"/>
    <w:rsid w:val="00D767F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C5A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5A30"/>
  </w:style>
  <w:style w:type="paragraph" w:styleId="Altbilgi">
    <w:name w:val="footer"/>
    <w:basedOn w:val="Normal"/>
    <w:link w:val="AltbilgiChar"/>
    <w:uiPriority w:val="99"/>
    <w:unhideWhenUsed/>
    <w:rsid w:val="002C5A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5A30"/>
  </w:style>
</w:styles>
</file>

<file path=word/webSettings.xml><?xml version="1.0" encoding="utf-8"?>
<w:webSettings xmlns:r="http://schemas.openxmlformats.org/officeDocument/2006/relationships" xmlns:w="http://schemas.openxmlformats.org/wordprocessingml/2006/main">
  <w:divs>
    <w:div w:id="426779317">
      <w:bodyDiv w:val="1"/>
      <w:marLeft w:val="0"/>
      <w:marRight w:val="0"/>
      <w:marTop w:val="0"/>
      <w:marBottom w:val="0"/>
      <w:divBdr>
        <w:top w:val="none" w:sz="0" w:space="0" w:color="auto"/>
        <w:left w:val="none" w:sz="0" w:space="0" w:color="auto"/>
        <w:bottom w:val="none" w:sz="0" w:space="0" w:color="auto"/>
        <w:right w:val="none" w:sz="0" w:space="0" w:color="auto"/>
      </w:divBdr>
    </w:div>
    <w:div w:id="1709986542">
      <w:bodyDiv w:val="1"/>
      <w:marLeft w:val="0"/>
      <w:marRight w:val="0"/>
      <w:marTop w:val="0"/>
      <w:marBottom w:val="0"/>
      <w:divBdr>
        <w:top w:val="none" w:sz="0" w:space="0" w:color="auto"/>
        <w:left w:val="none" w:sz="0" w:space="0" w:color="auto"/>
        <w:bottom w:val="none" w:sz="0" w:space="0" w:color="auto"/>
        <w:right w:val="none" w:sz="0" w:space="0" w:color="auto"/>
      </w:divBdr>
    </w:div>
    <w:div w:id="199237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1381</Words>
  <Characters>7878</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TubaSezer</dc:creator>
  <cp:lastModifiedBy>Atabey</cp:lastModifiedBy>
  <cp:revision>3</cp:revision>
  <cp:lastPrinted>2017-01-24T20:26:00Z</cp:lastPrinted>
  <dcterms:created xsi:type="dcterms:W3CDTF">2017-03-01T09:21:00Z</dcterms:created>
  <dcterms:modified xsi:type="dcterms:W3CDTF">2017-03-01T15:36:00Z</dcterms:modified>
</cp:coreProperties>
</file>