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B2" w:rsidRPr="00B47EB2" w:rsidRDefault="00201086" w:rsidP="00B47EB2">
      <w:pPr>
        <w:tabs>
          <w:tab w:val="right" w:pos="9214"/>
        </w:tabs>
        <w:spacing w:after="120" w:line="312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lang w:eastAsia="tr-TR"/>
        </w:rPr>
      </w:pPr>
      <w:r>
        <w:rPr>
          <w:rFonts w:ascii="Tahoma" w:eastAsia="Times New Roman" w:hAnsi="Tahoma" w:cs="Tahoma"/>
          <w:b/>
          <w:bCs/>
          <w:color w:val="000000"/>
          <w:lang w:eastAsia="tr-TR"/>
        </w:rPr>
        <w:tab/>
      </w:r>
    </w:p>
    <w:p w:rsidR="00B47EB2" w:rsidRPr="00B47EB2" w:rsidRDefault="00B47EB2" w:rsidP="00B47EB2">
      <w:pPr>
        <w:pStyle w:val="bodytext"/>
        <w:shd w:val="clear" w:color="auto" w:fill="FFFFFF"/>
        <w:spacing w:before="0" w:beforeAutospacing="0" w:after="120" w:afterAutospacing="0" w:line="312" w:lineRule="auto"/>
        <w:rPr>
          <w:rFonts w:asciiTheme="majorHAnsi" w:hAnsiTheme="majorHAnsi" w:cs="Calibri"/>
          <w:b/>
          <w:bCs/>
        </w:rPr>
      </w:pPr>
      <w:r w:rsidRPr="00B47EB2">
        <w:rPr>
          <w:rFonts w:asciiTheme="majorHAnsi" w:hAnsiTheme="majorHAnsi" w:cs="Calibri"/>
          <w:b/>
          <w:bCs/>
        </w:rPr>
        <w:t>VERGİ SİRKÜLERİ</w:t>
      </w:r>
    </w:p>
    <w:p w:rsidR="00B47EB2" w:rsidRPr="00B47EB2" w:rsidRDefault="00B47EB2" w:rsidP="00B47EB2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Theme="majorHAnsi" w:hAnsiTheme="majorHAnsi" w:cs="Calibri"/>
          <w:b/>
          <w:bCs/>
        </w:rPr>
      </w:pPr>
      <w:r w:rsidRPr="00B47EB2">
        <w:rPr>
          <w:rFonts w:asciiTheme="majorHAnsi" w:hAnsiTheme="majorHAnsi" w:cs="Calibri"/>
          <w:b/>
          <w:bCs/>
        </w:rPr>
        <w:t>Sayı</w:t>
      </w:r>
      <w:r w:rsidRPr="00B47EB2">
        <w:rPr>
          <w:rFonts w:asciiTheme="majorHAnsi" w:hAnsiTheme="majorHAnsi" w:cs="Calibri"/>
          <w:b/>
          <w:bCs/>
        </w:rPr>
        <w:tab/>
      </w:r>
      <w:r w:rsidRPr="00B47EB2">
        <w:rPr>
          <w:rFonts w:asciiTheme="majorHAnsi" w:hAnsiTheme="majorHAnsi" w:cs="Calibri"/>
          <w:b/>
          <w:bCs/>
        </w:rPr>
        <w:tab/>
        <w:t>: 2017-006</w:t>
      </w:r>
    </w:p>
    <w:p w:rsidR="00B47EB2" w:rsidRPr="00B47EB2" w:rsidRDefault="00B47EB2" w:rsidP="00B47EB2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Theme="majorHAnsi" w:hAnsiTheme="majorHAnsi" w:cs="Calibri"/>
          <w:b/>
          <w:bCs/>
        </w:rPr>
      </w:pPr>
      <w:r w:rsidRPr="00B47EB2">
        <w:rPr>
          <w:rFonts w:asciiTheme="majorHAnsi" w:hAnsiTheme="majorHAnsi" w:cs="Calibri"/>
          <w:b/>
          <w:bCs/>
        </w:rPr>
        <w:t>Tarih</w:t>
      </w:r>
      <w:r w:rsidRPr="00B47EB2">
        <w:rPr>
          <w:rFonts w:asciiTheme="majorHAnsi" w:hAnsiTheme="majorHAnsi" w:cs="Calibri"/>
          <w:b/>
          <w:bCs/>
        </w:rPr>
        <w:tab/>
      </w:r>
      <w:r w:rsidRPr="00B47EB2">
        <w:rPr>
          <w:rFonts w:asciiTheme="majorHAnsi" w:hAnsiTheme="majorHAnsi" w:cs="Calibri"/>
          <w:b/>
          <w:bCs/>
        </w:rPr>
        <w:tab/>
        <w:t>: 19.04.2017</w:t>
      </w:r>
    </w:p>
    <w:p w:rsidR="004A4F40" w:rsidRPr="00B47EB2" w:rsidRDefault="00B47EB2" w:rsidP="00B47EB2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="Tahoma" w:hAnsi="Tahoma" w:cs="Tahoma"/>
          <w:b/>
          <w:sz w:val="20"/>
          <w:szCs w:val="20"/>
        </w:rPr>
      </w:pPr>
      <w:r w:rsidRPr="00B47EB2">
        <w:rPr>
          <w:rFonts w:asciiTheme="majorHAnsi" w:hAnsiTheme="majorHAnsi" w:cs="Calibri"/>
          <w:b/>
          <w:bCs/>
        </w:rPr>
        <w:t>Konu</w:t>
      </w:r>
      <w:r w:rsidRPr="00B47EB2">
        <w:rPr>
          <w:rFonts w:asciiTheme="majorHAnsi" w:hAnsiTheme="majorHAnsi" w:cs="Calibri"/>
          <w:b/>
          <w:bCs/>
        </w:rPr>
        <w:tab/>
      </w:r>
      <w:r w:rsidRPr="00B47EB2">
        <w:rPr>
          <w:rFonts w:asciiTheme="majorHAnsi" w:hAnsiTheme="majorHAnsi" w:cs="Calibri"/>
          <w:b/>
          <w:bCs/>
        </w:rPr>
        <w:tab/>
        <w:t xml:space="preserve">: </w:t>
      </w:r>
      <w:r w:rsidR="004A4F40" w:rsidRPr="00B47EB2">
        <w:rPr>
          <w:rFonts w:ascii="Tahoma" w:hAnsi="Tahoma" w:cs="Tahoma"/>
          <w:b/>
          <w:sz w:val="20"/>
          <w:szCs w:val="20"/>
        </w:rPr>
        <w:t xml:space="preserve">E </w:t>
      </w:r>
      <w:r w:rsidR="00201086" w:rsidRPr="00B47EB2">
        <w:rPr>
          <w:rFonts w:ascii="Tahoma" w:hAnsi="Tahoma" w:cs="Tahoma"/>
          <w:b/>
          <w:sz w:val="20"/>
          <w:szCs w:val="20"/>
        </w:rPr>
        <w:t>Defter Göndermeden Önce Kasa Hesabının Kontrolü</w:t>
      </w:r>
    </w:p>
    <w:p w:rsidR="00B47EB2" w:rsidRPr="00201086" w:rsidRDefault="00B47EB2" w:rsidP="00B47EB2">
      <w:pPr>
        <w:pStyle w:val="bodytext"/>
        <w:shd w:val="clear" w:color="auto" w:fill="FFFFFF"/>
        <w:spacing w:before="0" w:beforeAutospacing="0" w:after="120" w:afterAutospacing="0" w:line="312" w:lineRule="auto"/>
        <w:jc w:val="both"/>
        <w:rPr>
          <w:rFonts w:ascii="Tahoma" w:hAnsi="Tahoma" w:cs="Tahoma"/>
          <w:b/>
          <w:sz w:val="20"/>
          <w:szCs w:val="20"/>
        </w:rPr>
      </w:pPr>
    </w:p>
    <w:p w:rsidR="00434D1F" w:rsidRPr="00201086" w:rsidRDefault="00434D1F" w:rsidP="00A842F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>E-</w:t>
      </w:r>
      <w:r w:rsidR="004A4F40" w:rsidRPr="00201086">
        <w:rPr>
          <w:rFonts w:ascii="Tahoma" w:hAnsi="Tahoma" w:cs="Tahoma"/>
          <w:sz w:val="20"/>
          <w:szCs w:val="20"/>
        </w:rPr>
        <w:t>Defter g</w:t>
      </w:r>
      <w:r w:rsidRPr="00201086">
        <w:rPr>
          <w:rFonts w:ascii="Tahoma" w:hAnsi="Tahoma" w:cs="Tahoma"/>
          <w:sz w:val="20"/>
          <w:szCs w:val="20"/>
        </w:rPr>
        <w:t>önderilmeden önce TL ve DÖVİZ Kasa hesaplarında aşağıdaki kontrollerin mutlaka yapılması, kontrolün yapılmadan e-defterin gönderilmemesi gerekmektedir;</w:t>
      </w:r>
    </w:p>
    <w:p w:rsidR="00434D1F" w:rsidRPr="00201086" w:rsidRDefault="00434D1F" w:rsidP="00A842F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34D1F" w:rsidRPr="00201086" w:rsidRDefault="00434D1F" w:rsidP="00434D1F">
      <w:pPr>
        <w:pStyle w:val="ListeParagraf"/>
        <w:numPr>
          <w:ilvl w:val="0"/>
          <w:numId w:val="1"/>
        </w:numPr>
        <w:spacing w:after="0"/>
        <w:ind w:hanging="720"/>
        <w:jc w:val="both"/>
        <w:rPr>
          <w:rFonts w:ascii="Tahoma" w:hAnsi="Tahoma" w:cs="Tahoma"/>
          <w:b/>
          <w:sz w:val="20"/>
          <w:szCs w:val="20"/>
        </w:rPr>
      </w:pPr>
      <w:r w:rsidRPr="00201086">
        <w:rPr>
          <w:rFonts w:ascii="Tahoma" w:hAnsi="Tahoma" w:cs="Tahoma"/>
          <w:b/>
          <w:sz w:val="20"/>
          <w:szCs w:val="20"/>
        </w:rPr>
        <w:t xml:space="preserve">7.000,00 TL üzeri </w:t>
      </w:r>
      <w:proofErr w:type="gramStart"/>
      <w:r w:rsidRPr="00201086">
        <w:rPr>
          <w:rFonts w:ascii="Tahoma" w:hAnsi="Tahoma" w:cs="Tahoma"/>
          <w:b/>
          <w:sz w:val="20"/>
          <w:szCs w:val="20"/>
        </w:rPr>
        <w:t>tahsilat</w:t>
      </w:r>
      <w:proofErr w:type="gramEnd"/>
      <w:r w:rsidRPr="00201086">
        <w:rPr>
          <w:rFonts w:ascii="Tahoma" w:hAnsi="Tahoma" w:cs="Tahoma"/>
          <w:b/>
          <w:sz w:val="20"/>
          <w:szCs w:val="20"/>
        </w:rPr>
        <w:t xml:space="preserve"> ve ödemelerin bulunup bulunmadığının kontrolü:</w:t>
      </w:r>
    </w:p>
    <w:p w:rsidR="00434D1F" w:rsidRPr="00201086" w:rsidRDefault="00434D1F" w:rsidP="00434D1F">
      <w:pPr>
        <w:pStyle w:val="ListeParagraf"/>
        <w:spacing w:after="0"/>
        <w:jc w:val="both"/>
        <w:rPr>
          <w:rFonts w:ascii="Tahoma" w:hAnsi="Tahoma" w:cs="Tahoma"/>
          <w:sz w:val="20"/>
          <w:szCs w:val="20"/>
        </w:rPr>
      </w:pPr>
    </w:p>
    <w:p w:rsidR="00434D1F" w:rsidRDefault="00434D1F" w:rsidP="00EB3083">
      <w:pPr>
        <w:pStyle w:val="ListeParagraf"/>
        <w:numPr>
          <w:ilvl w:val="0"/>
          <w:numId w:val="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 xml:space="preserve">7.000,00 TL üzeri </w:t>
      </w:r>
      <w:r w:rsidRPr="00201086">
        <w:rPr>
          <w:rFonts w:ascii="Tahoma" w:hAnsi="Tahoma" w:cs="Tahoma"/>
          <w:sz w:val="20"/>
          <w:szCs w:val="20"/>
          <w:u w:val="single"/>
        </w:rPr>
        <w:t>mal ve hizmet alım ve satımına</w:t>
      </w:r>
      <w:r w:rsidR="00BE4D3D" w:rsidRPr="00201086">
        <w:rPr>
          <w:rFonts w:ascii="Tahoma" w:hAnsi="Tahoma" w:cs="Tahoma"/>
          <w:sz w:val="20"/>
          <w:szCs w:val="20"/>
        </w:rPr>
        <w:t xml:space="preserve">, </w:t>
      </w:r>
      <w:r w:rsidR="00BE4D3D" w:rsidRPr="00201086">
        <w:rPr>
          <w:rFonts w:ascii="Tahoma" w:hAnsi="Tahoma" w:cs="Tahoma"/>
          <w:sz w:val="20"/>
          <w:szCs w:val="20"/>
          <w:u w:val="single"/>
        </w:rPr>
        <w:t>herhangi bir avans ödemesine</w:t>
      </w:r>
      <w:r w:rsidR="00BE4D3D" w:rsidRPr="00201086">
        <w:rPr>
          <w:rFonts w:ascii="Tahoma" w:hAnsi="Tahoma" w:cs="Tahoma"/>
          <w:sz w:val="20"/>
          <w:szCs w:val="20"/>
        </w:rPr>
        <w:t xml:space="preserve">, </w:t>
      </w:r>
      <w:r w:rsidR="00BE4D3D" w:rsidRPr="00201086">
        <w:rPr>
          <w:rFonts w:ascii="Tahoma" w:hAnsi="Tahoma" w:cs="Tahoma"/>
          <w:sz w:val="20"/>
          <w:szCs w:val="20"/>
          <w:u w:val="single"/>
        </w:rPr>
        <w:t>ortağın şirkete borç vermesine veya almasına</w:t>
      </w:r>
      <w:r w:rsidR="00BE4D3D" w:rsidRPr="00201086">
        <w:rPr>
          <w:rFonts w:ascii="Tahoma" w:hAnsi="Tahoma" w:cs="Tahoma"/>
          <w:sz w:val="20"/>
          <w:szCs w:val="20"/>
        </w:rPr>
        <w:t xml:space="preserve">, </w:t>
      </w:r>
      <w:r w:rsidR="00BE4D3D" w:rsidRPr="00201086">
        <w:rPr>
          <w:rFonts w:ascii="Tahoma" w:hAnsi="Tahoma" w:cs="Tahoma"/>
          <w:sz w:val="20"/>
          <w:szCs w:val="20"/>
          <w:u w:val="single"/>
        </w:rPr>
        <w:t>ortağın sermaye ödemesine</w:t>
      </w:r>
      <w:r w:rsidR="00BE4D3D" w:rsidRPr="00201086">
        <w:rPr>
          <w:rFonts w:ascii="Tahoma" w:hAnsi="Tahoma" w:cs="Tahoma"/>
          <w:sz w:val="20"/>
          <w:szCs w:val="20"/>
        </w:rPr>
        <w:t xml:space="preserve">, </w:t>
      </w:r>
      <w:r w:rsidR="00BE4D3D" w:rsidRPr="00201086">
        <w:rPr>
          <w:rFonts w:ascii="Tahoma" w:hAnsi="Tahoma" w:cs="Tahoma"/>
          <w:sz w:val="20"/>
          <w:szCs w:val="20"/>
          <w:u w:val="single"/>
        </w:rPr>
        <w:t>senet veya çek bedellerine</w:t>
      </w:r>
      <w:r w:rsidR="00BE4D3D" w:rsidRPr="00201086">
        <w:rPr>
          <w:rFonts w:ascii="Tahoma" w:hAnsi="Tahoma" w:cs="Tahoma"/>
          <w:sz w:val="20"/>
          <w:szCs w:val="20"/>
        </w:rPr>
        <w:t xml:space="preserve"> vb.</w:t>
      </w:r>
      <w:r w:rsidRPr="00201086">
        <w:rPr>
          <w:rFonts w:ascii="Tahoma" w:hAnsi="Tahoma" w:cs="Tahoma"/>
          <w:sz w:val="20"/>
          <w:szCs w:val="20"/>
        </w:rPr>
        <w:t xml:space="preserve"> ilişkin </w:t>
      </w:r>
      <w:proofErr w:type="gramStart"/>
      <w:r w:rsidRPr="00201086">
        <w:rPr>
          <w:rFonts w:ascii="Tahoma" w:hAnsi="Tahoma" w:cs="Tahoma"/>
          <w:sz w:val="20"/>
          <w:szCs w:val="20"/>
        </w:rPr>
        <w:t>tahsilat</w:t>
      </w:r>
      <w:proofErr w:type="gramEnd"/>
      <w:r w:rsidRPr="00201086">
        <w:rPr>
          <w:rFonts w:ascii="Tahoma" w:hAnsi="Tahoma" w:cs="Tahoma"/>
          <w:sz w:val="20"/>
          <w:szCs w:val="20"/>
        </w:rPr>
        <w:t xml:space="preserve"> ve ödemenin Kasa hesabından değil, banka hesabından yapılması gerekir. </w:t>
      </w:r>
    </w:p>
    <w:p w:rsidR="00201086" w:rsidRPr="00201086" w:rsidRDefault="00201086" w:rsidP="00EB3083">
      <w:pPr>
        <w:pStyle w:val="ListeParagraf"/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</w:p>
    <w:p w:rsidR="00434D1F" w:rsidRPr="00201086" w:rsidRDefault="00434D1F" w:rsidP="00EB3083">
      <w:pPr>
        <w:spacing w:after="0"/>
        <w:ind w:left="709" w:hanging="1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>İstisnası;</w:t>
      </w:r>
    </w:p>
    <w:p w:rsidR="00434D1F" w:rsidRPr="00201086" w:rsidRDefault="00434D1F" w:rsidP="00EB3083">
      <w:pPr>
        <w:pStyle w:val="ListeParagraf"/>
        <w:numPr>
          <w:ilvl w:val="1"/>
          <w:numId w:val="4"/>
        </w:numPr>
        <w:spacing w:after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201086">
        <w:rPr>
          <w:rFonts w:ascii="Tahoma" w:hAnsi="Tahoma" w:cs="Tahoma"/>
          <w:sz w:val="20"/>
          <w:szCs w:val="20"/>
        </w:rPr>
        <w:t>Tapu ile yapılan alım ve satımlar</w:t>
      </w:r>
      <w:r w:rsidR="001E4289" w:rsidRPr="00201086">
        <w:rPr>
          <w:rFonts w:ascii="Tahoma" w:hAnsi="Tahoma" w:cs="Tahoma"/>
          <w:sz w:val="20"/>
          <w:szCs w:val="20"/>
        </w:rPr>
        <w:t>ın</w:t>
      </w:r>
      <w:r w:rsidRPr="00201086">
        <w:rPr>
          <w:rFonts w:ascii="Tahoma" w:hAnsi="Tahoma" w:cs="Tahoma"/>
          <w:sz w:val="20"/>
          <w:szCs w:val="20"/>
        </w:rPr>
        <w:t>da,</w:t>
      </w:r>
      <w:r w:rsidR="001E4289" w:rsidRPr="00201086">
        <w:rPr>
          <w:rFonts w:ascii="Tahoma" w:hAnsi="Tahoma" w:cs="Tahoma"/>
          <w:sz w:val="20"/>
          <w:szCs w:val="20"/>
        </w:rPr>
        <w:t xml:space="preserve"> </w:t>
      </w:r>
      <w:r w:rsidR="001E4289" w:rsidRPr="00201086">
        <w:rPr>
          <w:rFonts w:ascii="Tahoma" w:hAnsi="Tahoma" w:cs="Tahoma"/>
          <w:b/>
          <w:sz w:val="20"/>
          <w:szCs w:val="20"/>
          <w:u w:val="single"/>
        </w:rPr>
        <w:t>tapu tarihinde yapılan</w:t>
      </w:r>
      <w:r w:rsidR="001E4289" w:rsidRPr="0020108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E4289" w:rsidRPr="00201086">
        <w:rPr>
          <w:rFonts w:ascii="Tahoma" w:hAnsi="Tahoma" w:cs="Tahoma"/>
          <w:sz w:val="20"/>
          <w:szCs w:val="20"/>
        </w:rPr>
        <w:t>tahsilat</w:t>
      </w:r>
      <w:proofErr w:type="gramEnd"/>
      <w:r w:rsidR="001E4289" w:rsidRPr="00201086">
        <w:rPr>
          <w:rFonts w:ascii="Tahoma" w:hAnsi="Tahoma" w:cs="Tahoma"/>
          <w:sz w:val="20"/>
          <w:szCs w:val="20"/>
        </w:rPr>
        <w:t xml:space="preserve"> ve ödemeler </w:t>
      </w:r>
      <w:r w:rsidR="001E4289" w:rsidRPr="00201086">
        <w:rPr>
          <w:rFonts w:ascii="Tahoma" w:hAnsi="Tahoma" w:cs="Tahoma"/>
          <w:b/>
          <w:sz w:val="18"/>
          <w:szCs w:val="18"/>
        </w:rPr>
        <w:t>(yevmiye defterine kaydederken evrak kayıt tarihi ile tapu tarihi aynı gün olması gerekir.)</w:t>
      </w:r>
      <w:r w:rsidR="001E4289" w:rsidRPr="00201086">
        <w:rPr>
          <w:rFonts w:ascii="Tahoma" w:hAnsi="Tahoma" w:cs="Tahoma"/>
          <w:sz w:val="18"/>
          <w:szCs w:val="18"/>
        </w:rPr>
        <w:t>,</w:t>
      </w:r>
    </w:p>
    <w:p w:rsidR="001E4289" w:rsidRPr="00201086" w:rsidRDefault="001E4289" w:rsidP="00EB3083">
      <w:pPr>
        <w:pStyle w:val="ListeParagraf"/>
        <w:numPr>
          <w:ilvl w:val="1"/>
          <w:numId w:val="4"/>
        </w:numPr>
        <w:spacing w:after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201086">
        <w:rPr>
          <w:rFonts w:ascii="Tahoma" w:hAnsi="Tahoma" w:cs="Tahoma"/>
          <w:sz w:val="20"/>
          <w:szCs w:val="20"/>
        </w:rPr>
        <w:t xml:space="preserve">Noterde yapılan alım ve satımlara ilişkin </w:t>
      </w:r>
      <w:proofErr w:type="gramStart"/>
      <w:r w:rsidRPr="00201086">
        <w:rPr>
          <w:rFonts w:ascii="Tahoma" w:hAnsi="Tahoma" w:cs="Tahoma"/>
          <w:sz w:val="20"/>
          <w:szCs w:val="20"/>
        </w:rPr>
        <w:t>tahsilat</w:t>
      </w:r>
      <w:proofErr w:type="gramEnd"/>
      <w:r w:rsidRPr="00201086">
        <w:rPr>
          <w:rFonts w:ascii="Tahoma" w:hAnsi="Tahoma" w:cs="Tahoma"/>
          <w:sz w:val="20"/>
          <w:szCs w:val="20"/>
        </w:rPr>
        <w:t xml:space="preserve"> ve ödemeler </w:t>
      </w:r>
      <w:r w:rsidRPr="00201086">
        <w:rPr>
          <w:rFonts w:ascii="Tahoma" w:hAnsi="Tahoma" w:cs="Tahoma"/>
          <w:b/>
          <w:sz w:val="18"/>
          <w:szCs w:val="18"/>
        </w:rPr>
        <w:t>(yevmiye defterine kaydederken evrak kayıt tarihi ile noter evrakı tarihi aynı gün olması gerekir.)</w:t>
      </w:r>
      <w:r w:rsidRPr="00201086">
        <w:rPr>
          <w:rFonts w:ascii="Tahoma" w:hAnsi="Tahoma" w:cs="Tahoma"/>
          <w:sz w:val="18"/>
          <w:szCs w:val="18"/>
        </w:rPr>
        <w:t xml:space="preserve">, </w:t>
      </w:r>
    </w:p>
    <w:p w:rsidR="00201086" w:rsidRPr="00201086" w:rsidRDefault="00201086" w:rsidP="00EB3083">
      <w:pPr>
        <w:pStyle w:val="ListeParagraf"/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</w:p>
    <w:p w:rsidR="001E4289" w:rsidRDefault="001E4289" w:rsidP="00EB3083">
      <w:pPr>
        <w:pStyle w:val="ListeParagraf"/>
        <w:numPr>
          <w:ilvl w:val="0"/>
          <w:numId w:val="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 xml:space="preserve">Sözleşmeye dayalı işlemlerde, bir yıl içerisinde ödenecek toplam sözleşme bedeli 7.000,00 TL üzeri ise, buna ilişkin </w:t>
      </w:r>
      <w:proofErr w:type="gramStart"/>
      <w:r w:rsidRPr="00201086">
        <w:rPr>
          <w:rFonts w:ascii="Tahoma" w:hAnsi="Tahoma" w:cs="Tahoma"/>
          <w:sz w:val="20"/>
          <w:szCs w:val="20"/>
        </w:rPr>
        <w:t>tahsilat</w:t>
      </w:r>
      <w:proofErr w:type="gramEnd"/>
      <w:r w:rsidRPr="00201086">
        <w:rPr>
          <w:rFonts w:ascii="Tahoma" w:hAnsi="Tahoma" w:cs="Tahoma"/>
          <w:sz w:val="20"/>
          <w:szCs w:val="20"/>
        </w:rPr>
        <w:t xml:space="preserve"> ve ödemenin Kasa hesabından değil, banka hesabından yapılması gerekir. Örneğin, Mali Müşavir, Avukat vb. ile yapılan sözleşme gereği makbuz karşılığında aylık 1.000,00 TL ödenecekse; makbuzda yazılı bedel 7.000,00 TL tutarını geçmemesine rağmen yıllık olarak dikkate alındığında 12.000,00 TL olduğundan ödemelerin banka kanalıyla olması gerekir.</w:t>
      </w:r>
    </w:p>
    <w:p w:rsidR="00AB74BC" w:rsidRDefault="00AB74BC" w:rsidP="00EB3083">
      <w:pPr>
        <w:pStyle w:val="ListeParagraf"/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</w:p>
    <w:p w:rsidR="00AB74BC" w:rsidRPr="00201086" w:rsidRDefault="00AB74BC" w:rsidP="00EB3083">
      <w:pPr>
        <w:pStyle w:val="ListeParagraf"/>
        <w:numPr>
          <w:ilvl w:val="0"/>
          <w:numId w:val="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7.000,00 TL üzeri ödemenin banka kanalıyla değil de kasa hesabından yapıldığının tespiti halinde; yapılan ödeme tutarı üzerinden </w:t>
      </w:r>
      <w:r w:rsidRPr="00AB74BC">
        <w:rPr>
          <w:rFonts w:ascii="Tahoma" w:hAnsi="Tahoma" w:cs="Tahoma"/>
          <w:b/>
          <w:sz w:val="20"/>
          <w:szCs w:val="20"/>
        </w:rPr>
        <w:t>%5 özel usulsüzlük cezası</w:t>
      </w:r>
      <w:r>
        <w:rPr>
          <w:rFonts w:ascii="Tahoma" w:hAnsi="Tahoma" w:cs="Tahoma"/>
          <w:sz w:val="20"/>
          <w:szCs w:val="20"/>
        </w:rPr>
        <w:t xml:space="preserve"> kesilmektedir.</w:t>
      </w:r>
    </w:p>
    <w:p w:rsidR="00434D1F" w:rsidRPr="00201086" w:rsidRDefault="00434D1F" w:rsidP="00A842F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E4D3D" w:rsidRPr="00201086" w:rsidRDefault="00BE4D3D" w:rsidP="00BE4D3D">
      <w:pPr>
        <w:pStyle w:val="ListeParagraf"/>
        <w:numPr>
          <w:ilvl w:val="0"/>
          <w:numId w:val="1"/>
        </w:numPr>
        <w:spacing w:after="0"/>
        <w:ind w:hanging="720"/>
        <w:jc w:val="both"/>
        <w:rPr>
          <w:rFonts w:ascii="Tahoma" w:hAnsi="Tahoma" w:cs="Tahoma"/>
          <w:b/>
          <w:sz w:val="20"/>
          <w:szCs w:val="20"/>
        </w:rPr>
      </w:pPr>
      <w:r w:rsidRPr="00201086">
        <w:rPr>
          <w:rFonts w:ascii="Tahoma" w:hAnsi="Tahoma" w:cs="Tahoma"/>
          <w:b/>
          <w:sz w:val="20"/>
          <w:szCs w:val="20"/>
        </w:rPr>
        <w:t>Kasa hesabının (TL ve DÖVİZ) Alacak Bakiye verip vermediğinin kontrolü:</w:t>
      </w:r>
    </w:p>
    <w:p w:rsidR="00BE4D3D" w:rsidRPr="00201086" w:rsidRDefault="00BE4D3D" w:rsidP="00BE4D3D">
      <w:pPr>
        <w:pStyle w:val="ListeParagraf"/>
        <w:spacing w:after="0"/>
        <w:jc w:val="both"/>
        <w:rPr>
          <w:rFonts w:ascii="Tahoma" w:hAnsi="Tahoma" w:cs="Tahoma"/>
          <w:sz w:val="20"/>
          <w:szCs w:val="20"/>
        </w:rPr>
      </w:pPr>
    </w:p>
    <w:p w:rsidR="00865670" w:rsidRPr="00201086" w:rsidRDefault="00BE4D3D" w:rsidP="00201086">
      <w:pPr>
        <w:pStyle w:val="ListeParagraf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>Bilindiği üzere, Tek Düzen Muhasebe Sistemine göre Kasa hesabı hiçbir zaman alacak bakiye</w:t>
      </w:r>
      <w:r w:rsidR="00EB3083">
        <w:rPr>
          <w:rFonts w:ascii="Tahoma" w:hAnsi="Tahoma" w:cs="Tahoma"/>
          <w:sz w:val="20"/>
          <w:szCs w:val="20"/>
        </w:rPr>
        <w:t>si</w:t>
      </w:r>
      <w:r w:rsidRPr="00201086">
        <w:rPr>
          <w:rFonts w:ascii="Tahoma" w:hAnsi="Tahoma" w:cs="Tahoma"/>
          <w:sz w:val="20"/>
          <w:szCs w:val="20"/>
        </w:rPr>
        <w:t xml:space="preserve"> vermemektedir. Eğer Kasa hesabı alacak bakiye veriyorsa bunun muhasebe tekniği açısından anlamı şudur; ya sehven tahsil edilen nakit para kasa hesabına işlenmemiştir </w:t>
      </w:r>
      <w:proofErr w:type="gramStart"/>
      <w:r w:rsidRPr="00201086">
        <w:rPr>
          <w:rFonts w:ascii="Tahoma" w:hAnsi="Tahoma" w:cs="Tahoma"/>
          <w:sz w:val="20"/>
          <w:szCs w:val="20"/>
        </w:rPr>
        <w:t>yada</w:t>
      </w:r>
      <w:proofErr w:type="gramEnd"/>
      <w:r w:rsidRPr="00201086">
        <w:rPr>
          <w:rFonts w:ascii="Tahoma" w:hAnsi="Tahoma" w:cs="Tahoma"/>
          <w:sz w:val="20"/>
          <w:szCs w:val="20"/>
        </w:rPr>
        <w:t xml:space="preserve"> şirket belgesiz satış yapmı</w:t>
      </w:r>
      <w:r w:rsidR="00865670" w:rsidRPr="00201086">
        <w:rPr>
          <w:rFonts w:ascii="Tahoma" w:hAnsi="Tahoma" w:cs="Tahoma"/>
          <w:sz w:val="20"/>
          <w:szCs w:val="20"/>
        </w:rPr>
        <w:t xml:space="preserve">ş ve buradan elde ettiği gelirini Kasa hesabına kaydetmeden diğer muhasebe hesaplarına kaydetmiştir, demektir. </w:t>
      </w:r>
      <w:r w:rsidR="00201086">
        <w:rPr>
          <w:rFonts w:ascii="Tahoma" w:hAnsi="Tahoma" w:cs="Tahoma"/>
          <w:sz w:val="20"/>
          <w:szCs w:val="20"/>
        </w:rPr>
        <w:t xml:space="preserve">Böyle bir durumun vergi incelemelerinde tespiti halinde tereddütsüz matrah farkı olarak değerlendirilerek şirket hakkında hem kurumlar </w:t>
      </w:r>
      <w:r w:rsidR="00AB74BC">
        <w:rPr>
          <w:rFonts w:ascii="Tahoma" w:hAnsi="Tahoma" w:cs="Tahoma"/>
          <w:sz w:val="20"/>
          <w:szCs w:val="20"/>
        </w:rPr>
        <w:t xml:space="preserve">vergisi </w:t>
      </w:r>
      <w:r w:rsidR="00201086">
        <w:rPr>
          <w:rFonts w:ascii="Tahoma" w:hAnsi="Tahoma" w:cs="Tahoma"/>
          <w:sz w:val="20"/>
          <w:szCs w:val="20"/>
        </w:rPr>
        <w:t>hem katma değer</w:t>
      </w:r>
      <w:r w:rsidR="00AB74BC">
        <w:rPr>
          <w:rFonts w:ascii="Tahoma" w:hAnsi="Tahoma" w:cs="Tahoma"/>
          <w:sz w:val="20"/>
          <w:szCs w:val="20"/>
        </w:rPr>
        <w:t xml:space="preserve"> vergisi</w:t>
      </w:r>
      <w:r w:rsidR="00201086">
        <w:rPr>
          <w:rFonts w:ascii="Tahoma" w:hAnsi="Tahoma" w:cs="Tahoma"/>
          <w:sz w:val="20"/>
          <w:szCs w:val="20"/>
        </w:rPr>
        <w:t xml:space="preserve"> hem de stopaj gelir vergisi yönüyle tarhiyat </w:t>
      </w:r>
      <w:r w:rsidR="00AB74BC">
        <w:rPr>
          <w:rFonts w:ascii="Tahoma" w:hAnsi="Tahoma" w:cs="Tahoma"/>
          <w:sz w:val="20"/>
          <w:szCs w:val="20"/>
        </w:rPr>
        <w:t>yapılmasına neden olacaktır.</w:t>
      </w:r>
    </w:p>
    <w:p w:rsidR="00BE4D3D" w:rsidRPr="00201086" w:rsidRDefault="00865670" w:rsidP="00201086">
      <w:pPr>
        <w:pStyle w:val="ListeParagraf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 xml:space="preserve">Bu nedenle, </w:t>
      </w:r>
      <w:r w:rsidRPr="00201086">
        <w:rPr>
          <w:rFonts w:ascii="Tahoma" w:hAnsi="Tahoma" w:cs="Tahoma"/>
          <w:sz w:val="20"/>
          <w:szCs w:val="20"/>
          <w:u w:val="single"/>
        </w:rPr>
        <w:t xml:space="preserve">Kasa hesaplarının </w:t>
      </w:r>
      <w:r w:rsidR="00CB19C1" w:rsidRPr="00CB19C1">
        <w:rPr>
          <w:rFonts w:ascii="Tahoma" w:hAnsi="Tahoma" w:cs="Tahoma"/>
          <w:b/>
          <w:sz w:val="20"/>
          <w:szCs w:val="20"/>
          <w:u w:val="single"/>
        </w:rPr>
        <w:t>fiş kayıt tarihine göre değil, evrak kayıt tarihine göre sıralayarak</w:t>
      </w:r>
      <w:r w:rsidR="00CB19C1">
        <w:rPr>
          <w:rFonts w:ascii="Tahoma" w:hAnsi="Tahoma" w:cs="Tahoma"/>
          <w:sz w:val="20"/>
          <w:szCs w:val="20"/>
          <w:u w:val="single"/>
        </w:rPr>
        <w:t xml:space="preserve"> </w:t>
      </w:r>
      <w:r w:rsidRPr="00201086">
        <w:rPr>
          <w:rFonts w:ascii="Tahoma" w:hAnsi="Tahoma" w:cs="Tahoma"/>
          <w:sz w:val="20"/>
          <w:szCs w:val="20"/>
          <w:u w:val="single"/>
        </w:rPr>
        <w:t>günlük olarak alacak bakiyesi verip vermediğinin mutlaka kontrol edilmesi</w:t>
      </w:r>
      <w:r w:rsidRPr="00201086">
        <w:rPr>
          <w:rFonts w:ascii="Tahoma" w:hAnsi="Tahoma" w:cs="Tahoma"/>
          <w:sz w:val="20"/>
          <w:szCs w:val="20"/>
        </w:rPr>
        <w:t>, eğer alacak bakiyesi veriyorsa gerçeğe uygun olarak düzeltilmesi gerekmektedir.</w:t>
      </w:r>
    </w:p>
    <w:p w:rsidR="00865670" w:rsidRDefault="00865670" w:rsidP="00201086">
      <w:pPr>
        <w:pStyle w:val="ListeParagraf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201086">
        <w:rPr>
          <w:rFonts w:ascii="Tahoma" w:hAnsi="Tahoma" w:cs="Tahoma"/>
          <w:sz w:val="20"/>
          <w:szCs w:val="20"/>
        </w:rPr>
        <w:t xml:space="preserve">Diğer taraftan, DÖVİZ olarak tutulan Kasa Hesaplarının alacak bakiyesi kontrolü, TL karşılıkları üzerinden değil </w:t>
      </w:r>
      <w:r w:rsidRPr="00201086">
        <w:rPr>
          <w:rFonts w:ascii="Tahoma" w:hAnsi="Tahoma" w:cs="Tahoma"/>
          <w:b/>
          <w:sz w:val="20"/>
          <w:szCs w:val="20"/>
          <w:u w:val="single"/>
        </w:rPr>
        <w:t>döviz bedelleri</w:t>
      </w:r>
      <w:r w:rsidRPr="00201086">
        <w:rPr>
          <w:rFonts w:ascii="Tahoma" w:hAnsi="Tahoma" w:cs="Tahoma"/>
          <w:sz w:val="20"/>
          <w:szCs w:val="20"/>
        </w:rPr>
        <w:t xml:space="preserve"> üzerinden yapılacağı da tabiidir.</w:t>
      </w:r>
    </w:p>
    <w:p w:rsidR="00AB74BC" w:rsidRDefault="00D34162" w:rsidP="00D34162">
      <w:pPr>
        <w:pStyle w:val="ListeParagraf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D34162">
        <w:rPr>
          <w:rFonts w:ascii="Tahoma" w:hAnsi="Tahoma" w:cs="Tahoma"/>
          <w:sz w:val="20"/>
          <w:szCs w:val="20"/>
        </w:rPr>
        <w:t>Bu nedenle e-defterler gönderilmeden Kasa hesabının alacak bakiyesi verip vermediği konusunda mutlaka kontrol yapılmalıdır.</w:t>
      </w:r>
    </w:p>
    <w:p w:rsidR="00D34162" w:rsidRDefault="00D34162" w:rsidP="00D34162">
      <w:pPr>
        <w:pStyle w:val="ListeParagraf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Saygılarımızla.</w:t>
      </w:r>
    </w:p>
    <w:sectPr w:rsidR="00D34162" w:rsidSect="00EB3083">
      <w:headerReference w:type="default" r:id="rId7"/>
      <w:pgSz w:w="11906" w:h="16838"/>
      <w:pgMar w:top="825" w:right="849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80" w:rsidRDefault="00176E80" w:rsidP="00E67456">
      <w:pPr>
        <w:spacing w:after="0" w:line="240" w:lineRule="auto"/>
      </w:pPr>
      <w:r>
        <w:separator/>
      </w:r>
    </w:p>
  </w:endnote>
  <w:endnote w:type="continuationSeparator" w:id="0">
    <w:p w:rsidR="00176E80" w:rsidRDefault="00176E80" w:rsidP="00E6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80" w:rsidRDefault="00176E80" w:rsidP="00E67456">
      <w:pPr>
        <w:spacing w:after="0" w:line="240" w:lineRule="auto"/>
      </w:pPr>
      <w:r>
        <w:separator/>
      </w:r>
    </w:p>
  </w:footnote>
  <w:footnote w:type="continuationSeparator" w:id="0">
    <w:p w:rsidR="00176E80" w:rsidRDefault="00176E80" w:rsidP="00E6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56" w:rsidRDefault="00CC3B51" w:rsidP="0028351B">
    <w:pPr>
      <w:spacing w:after="0" w:line="240" w:lineRule="atLeas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5423" o:spid="_x0000_s2050" type="#_x0000_t75" style="position:absolute;margin-left:0;margin-top:0;width:595.8pt;height:784.45pt;z-index:-251658752;mso-position-horizontal:center;mso-position-horizontal-relative:margin;mso-position-vertical:center;mso-position-vertical-relative:margin" o:allowincell="f">
          <v:imagedata r:id="rId1" o:title="ad antetli kağıt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4AA"/>
    <w:multiLevelType w:val="hybridMultilevel"/>
    <w:tmpl w:val="F86835F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2547DD"/>
    <w:multiLevelType w:val="hybridMultilevel"/>
    <w:tmpl w:val="5A32B532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CF403B"/>
    <w:multiLevelType w:val="hybridMultilevel"/>
    <w:tmpl w:val="D3BC8278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3849CC"/>
    <w:multiLevelType w:val="hybridMultilevel"/>
    <w:tmpl w:val="F4809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8B1"/>
    <w:rsid w:val="0003730C"/>
    <w:rsid w:val="000438C3"/>
    <w:rsid w:val="00082A3B"/>
    <w:rsid w:val="000E4B5A"/>
    <w:rsid w:val="000E6637"/>
    <w:rsid w:val="000F55EE"/>
    <w:rsid w:val="00176E80"/>
    <w:rsid w:val="00196649"/>
    <w:rsid w:val="001A38B1"/>
    <w:rsid w:val="001E4289"/>
    <w:rsid w:val="00201086"/>
    <w:rsid w:val="0028351B"/>
    <w:rsid w:val="00287151"/>
    <w:rsid w:val="002A5133"/>
    <w:rsid w:val="002F6E18"/>
    <w:rsid w:val="003019A4"/>
    <w:rsid w:val="0034694C"/>
    <w:rsid w:val="003C5E24"/>
    <w:rsid w:val="003D2D3C"/>
    <w:rsid w:val="003F5189"/>
    <w:rsid w:val="00433DC9"/>
    <w:rsid w:val="00434D1F"/>
    <w:rsid w:val="004A4F40"/>
    <w:rsid w:val="004E1E66"/>
    <w:rsid w:val="004E73A2"/>
    <w:rsid w:val="00546825"/>
    <w:rsid w:val="00576307"/>
    <w:rsid w:val="005B2733"/>
    <w:rsid w:val="005F030B"/>
    <w:rsid w:val="006061D5"/>
    <w:rsid w:val="00625569"/>
    <w:rsid w:val="00635B43"/>
    <w:rsid w:val="006560E0"/>
    <w:rsid w:val="00671E0F"/>
    <w:rsid w:val="0068592C"/>
    <w:rsid w:val="006B00A7"/>
    <w:rsid w:val="00707D57"/>
    <w:rsid w:val="00721561"/>
    <w:rsid w:val="00736AFE"/>
    <w:rsid w:val="00772677"/>
    <w:rsid w:val="007E0174"/>
    <w:rsid w:val="007F0DD4"/>
    <w:rsid w:val="00821819"/>
    <w:rsid w:val="008372A7"/>
    <w:rsid w:val="00865670"/>
    <w:rsid w:val="00872AE7"/>
    <w:rsid w:val="00892A11"/>
    <w:rsid w:val="008B1A3D"/>
    <w:rsid w:val="009271DD"/>
    <w:rsid w:val="00934FC1"/>
    <w:rsid w:val="009777B5"/>
    <w:rsid w:val="009930A2"/>
    <w:rsid w:val="009A1609"/>
    <w:rsid w:val="00A32A8F"/>
    <w:rsid w:val="00A65FA6"/>
    <w:rsid w:val="00A7745F"/>
    <w:rsid w:val="00A842F8"/>
    <w:rsid w:val="00AB74BC"/>
    <w:rsid w:val="00AC23D5"/>
    <w:rsid w:val="00AF4CDF"/>
    <w:rsid w:val="00B12524"/>
    <w:rsid w:val="00B139CC"/>
    <w:rsid w:val="00B47EB2"/>
    <w:rsid w:val="00B71675"/>
    <w:rsid w:val="00BE23A2"/>
    <w:rsid w:val="00BE4D3D"/>
    <w:rsid w:val="00BF11C7"/>
    <w:rsid w:val="00BF4F9E"/>
    <w:rsid w:val="00C26447"/>
    <w:rsid w:val="00C65D54"/>
    <w:rsid w:val="00C7646D"/>
    <w:rsid w:val="00C93520"/>
    <w:rsid w:val="00C955D8"/>
    <w:rsid w:val="00CA298B"/>
    <w:rsid w:val="00CB19C1"/>
    <w:rsid w:val="00CC3B51"/>
    <w:rsid w:val="00CE2F6D"/>
    <w:rsid w:val="00D34162"/>
    <w:rsid w:val="00D9354F"/>
    <w:rsid w:val="00DD608B"/>
    <w:rsid w:val="00DF31D2"/>
    <w:rsid w:val="00E045A9"/>
    <w:rsid w:val="00E37E7D"/>
    <w:rsid w:val="00E67456"/>
    <w:rsid w:val="00E92F65"/>
    <w:rsid w:val="00EB3083"/>
    <w:rsid w:val="00EC10F2"/>
    <w:rsid w:val="00ED5FF3"/>
    <w:rsid w:val="00EE6BE3"/>
    <w:rsid w:val="00EF5F31"/>
    <w:rsid w:val="00F82821"/>
    <w:rsid w:val="00FA0607"/>
    <w:rsid w:val="00FA680E"/>
    <w:rsid w:val="00FB4B15"/>
    <w:rsid w:val="00FD1F10"/>
    <w:rsid w:val="00FD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456"/>
  </w:style>
  <w:style w:type="paragraph" w:styleId="Altbilgi">
    <w:name w:val="footer"/>
    <w:basedOn w:val="Normal"/>
    <w:link w:val="Al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456"/>
  </w:style>
  <w:style w:type="paragraph" w:styleId="ListeParagraf">
    <w:name w:val="List Paragraph"/>
    <w:basedOn w:val="Normal"/>
    <w:uiPriority w:val="34"/>
    <w:qFormat/>
    <w:rsid w:val="00434D1F"/>
    <w:pPr>
      <w:ind w:left="720"/>
      <w:contextualSpacing/>
    </w:pPr>
  </w:style>
  <w:style w:type="paragraph" w:customStyle="1" w:styleId="bodytext">
    <w:name w:val="bodytext"/>
    <w:basedOn w:val="Normal"/>
    <w:rsid w:val="00B4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mesutatabey@hotmail.com</dc:creator>
  <cp:lastModifiedBy>Atabey</cp:lastModifiedBy>
  <cp:revision>6</cp:revision>
  <cp:lastPrinted>2017-04-17T06:09:00Z</cp:lastPrinted>
  <dcterms:created xsi:type="dcterms:W3CDTF">2017-04-19T15:21:00Z</dcterms:created>
  <dcterms:modified xsi:type="dcterms:W3CDTF">2018-11-29T19:42:00Z</dcterms:modified>
</cp:coreProperties>
</file>